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F7FFE" w14:textId="0061497C" w:rsidR="009564B5" w:rsidRPr="004E6B45" w:rsidRDefault="00C57815" w:rsidP="004E6B45">
      <w:pPr>
        <w:rPr>
          <w:rFonts w:eastAsia="Calibri"/>
          <w:lang w:val="pl-PL"/>
        </w:rPr>
      </w:pPr>
      <w:r>
        <w:rPr>
          <w:noProof/>
          <w:lang w:val="pl-PL" w:eastAsia="pl-PL"/>
        </w:rPr>
        <mc:AlternateContent>
          <mc:Choice Requires="wps">
            <w:drawing>
              <wp:anchor distT="0" distB="0" distL="114300" distR="114300" simplePos="0" relativeHeight="251693056" behindDoc="0" locked="1" layoutInCell="1" allowOverlap="1" wp14:anchorId="712F1767" wp14:editId="362E1AAF">
                <wp:simplePos x="0" y="0"/>
                <wp:positionH relativeFrom="page">
                  <wp:posOffset>1174115</wp:posOffset>
                </wp:positionH>
                <wp:positionV relativeFrom="page">
                  <wp:posOffset>3670935</wp:posOffset>
                </wp:positionV>
                <wp:extent cx="2697480" cy="2886075"/>
                <wp:effectExtent l="0" t="0" r="762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288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30AD6" w14:textId="77777777" w:rsidR="00C57815" w:rsidRPr="00F32ACE" w:rsidRDefault="00C57815" w:rsidP="00C57815">
                            <w:pPr>
                              <w:pStyle w:val="Headline1"/>
                              <w:rPr>
                                <w:rFonts w:ascii="EYInterstate" w:hAnsi="EYInterstate"/>
                                <w:b/>
                                <w:color w:val="404040"/>
                                <w:lang w:val="pl-PL"/>
                              </w:rPr>
                            </w:pPr>
                            <w:r w:rsidRPr="00F32ACE">
                              <w:rPr>
                                <w:rFonts w:ascii="EYInterstate" w:hAnsi="EYInterstate"/>
                                <w:b/>
                                <w:color w:val="404040"/>
                                <w:lang w:val="pl-PL"/>
                              </w:rPr>
                              <w:t xml:space="preserve">Opieka </w:t>
                            </w:r>
                            <w:r>
                              <w:rPr>
                                <w:rFonts w:ascii="EYInterstate" w:hAnsi="EYInterstate"/>
                                <w:b/>
                                <w:color w:val="404040"/>
                                <w:lang w:val="pl-PL"/>
                              </w:rPr>
                              <w:t xml:space="preserve">koordynowana </w:t>
                            </w:r>
                            <w:r>
                              <w:rPr>
                                <w:rFonts w:ascii="EYInterstate" w:hAnsi="EYInterstate"/>
                                <w:b/>
                                <w:color w:val="404040"/>
                                <w:lang w:val="pl-PL"/>
                              </w:rPr>
                              <w:br/>
                            </w:r>
                            <w:r w:rsidRPr="00F32ACE">
                              <w:rPr>
                                <w:rFonts w:ascii="EYInterstate" w:hAnsi="EYInterstate"/>
                                <w:b/>
                                <w:color w:val="404040"/>
                                <w:lang w:val="pl-PL"/>
                              </w:rPr>
                              <w:t xml:space="preserve">nad pacjentem </w:t>
                            </w:r>
                            <w:r>
                              <w:rPr>
                                <w:rFonts w:ascii="EYInterstate" w:hAnsi="EYInterstate"/>
                                <w:b/>
                                <w:color w:val="404040"/>
                                <w:lang w:val="pl-PL"/>
                              </w:rPr>
                              <w:br/>
                            </w:r>
                            <w:r w:rsidRPr="00F32ACE">
                              <w:rPr>
                                <w:rFonts w:ascii="EYInterstate" w:hAnsi="EYInterstate"/>
                                <w:b/>
                                <w:color w:val="404040"/>
                                <w:lang w:val="pl-PL"/>
                              </w:rPr>
                              <w:t>z przewlekłą chorobą nerek</w:t>
                            </w:r>
                          </w:p>
                          <w:p w14:paraId="08E37E00" w14:textId="77777777" w:rsidR="00C57815" w:rsidRPr="000A2E11" w:rsidRDefault="00C57815" w:rsidP="00C57815">
                            <w:pPr>
                              <w:pStyle w:val="Headline2"/>
                              <w:rPr>
                                <w:color w:val="404040"/>
                                <w:lang w:val="pl-PL"/>
                              </w:rPr>
                            </w:pPr>
                          </w:p>
                          <w:p w14:paraId="1A6579B4" w14:textId="77777777" w:rsidR="00C57815" w:rsidRPr="000A2E11" w:rsidRDefault="00C57815" w:rsidP="00C57815">
                            <w:pPr>
                              <w:pStyle w:val="Headline2"/>
                              <w:rPr>
                                <w:color w:val="404040"/>
                                <w:lang w:val="pl-PL"/>
                              </w:rPr>
                            </w:pPr>
                          </w:p>
                          <w:p w14:paraId="41FAAE9B" w14:textId="77777777" w:rsidR="00C57815" w:rsidRPr="001D1C8A" w:rsidRDefault="00C57815" w:rsidP="00C57815">
                            <w:pPr>
                              <w:pStyle w:val="Headline2"/>
                              <w:rPr>
                                <w:color w:val="404040"/>
                              </w:rPr>
                            </w:pPr>
                            <w:r w:rsidRPr="00060165">
                              <w:rPr>
                                <w:color w:val="404040"/>
                                <w:lang w:val="pl-PL"/>
                              </w:rPr>
                              <w:t>Kwiecień</w:t>
                            </w:r>
                            <w:r>
                              <w:rPr>
                                <w:color w:val="404040"/>
                              </w:rPr>
                              <w:t xml:space="preserve"> 2017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F1767" id="_x0000_t202" coordsize="21600,21600" o:spt="202" path="m,l,21600r21600,l21600,xe">
                <v:stroke joinstyle="miter"/>
                <v:path gradientshapeok="t" o:connecttype="rect"/>
              </v:shapetype>
              <v:shape id="Text Box 2" o:spid="_x0000_s1026" type="#_x0000_t202" style="position:absolute;left:0;text-align:left;margin-left:92.45pt;margin-top:289.05pt;width:212.4pt;height:227.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" filled="f" stroked="f">
                <v:textbox inset="0,0,0,0">
                  <w:txbxContent>
                    <w:p w14:paraId="0BA30AD6" w14:textId="77777777" w:rsidR="00C57815" w:rsidRPr="00F32ACE" w:rsidRDefault="00C57815" w:rsidP="00C57815">
                      <w:pPr>
                        <w:pStyle w:val="Headline1"/>
                        <w:rPr>
                          <w:rFonts w:ascii="EYInterstate" w:hAnsi="EYInterstate"/>
                          <w:b/>
                          <w:color w:val="404040"/>
                          <w:lang w:val="pl-PL"/>
                        </w:rPr>
                      </w:pPr>
                      <w:r w:rsidRPr="00F32ACE">
                        <w:rPr>
                          <w:rFonts w:ascii="EYInterstate" w:hAnsi="EYInterstate"/>
                          <w:b/>
                          <w:color w:val="404040"/>
                          <w:lang w:val="pl-PL"/>
                        </w:rPr>
                        <w:t xml:space="preserve">Opieka </w:t>
                      </w:r>
                      <w:r>
                        <w:rPr>
                          <w:rFonts w:ascii="EYInterstate" w:hAnsi="EYInterstate"/>
                          <w:b/>
                          <w:color w:val="404040"/>
                          <w:lang w:val="pl-PL"/>
                        </w:rPr>
                        <w:t xml:space="preserve">koordynowana </w:t>
                      </w:r>
                      <w:r>
                        <w:rPr>
                          <w:rFonts w:ascii="EYInterstate" w:hAnsi="EYInterstate"/>
                          <w:b/>
                          <w:color w:val="404040"/>
                          <w:lang w:val="pl-PL"/>
                        </w:rPr>
                        <w:br/>
                      </w:r>
                      <w:r w:rsidRPr="00F32ACE">
                        <w:rPr>
                          <w:rFonts w:ascii="EYInterstate" w:hAnsi="EYInterstate"/>
                          <w:b/>
                          <w:color w:val="404040"/>
                          <w:lang w:val="pl-PL"/>
                        </w:rPr>
                        <w:t xml:space="preserve">nad pacjentem </w:t>
                      </w:r>
                      <w:r>
                        <w:rPr>
                          <w:rFonts w:ascii="EYInterstate" w:hAnsi="EYInterstate"/>
                          <w:b/>
                          <w:color w:val="404040"/>
                          <w:lang w:val="pl-PL"/>
                        </w:rPr>
                        <w:br/>
                      </w:r>
                      <w:r w:rsidRPr="00F32ACE">
                        <w:rPr>
                          <w:rFonts w:ascii="EYInterstate" w:hAnsi="EYInterstate"/>
                          <w:b/>
                          <w:color w:val="404040"/>
                          <w:lang w:val="pl-PL"/>
                        </w:rPr>
                        <w:t>z przewlekłą chorobą nerek</w:t>
                      </w:r>
                    </w:p>
                    <w:p w14:paraId="08E37E00" w14:textId="77777777" w:rsidR="00C57815" w:rsidRPr="000A2E11" w:rsidRDefault="00C57815" w:rsidP="00C57815">
                      <w:pPr>
                        <w:pStyle w:val="Headline2"/>
                        <w:rPr>
                          <w:color w:val="404040"/>
                          <w:lang w:val="pl-PL"/>
                        </w:rPr>
                      </w:pPr>
                    </w:p>
                    <w:p w14:paraId="1A6579B4" w14:textId="77777777" w:rsidR="00C57815" w:rsidRPr="000A2E11" w:rsidRDefault="00C57815" w:rsidP="00C57815">
                      <w:pPr>
                        <w:pStyle w:val="Headline2"/>
                        <w:rPr>
                          <w:color w:val="404040"/>
                          <w:lang w:val="pl-PL"/>
                        </w:rPr>
                      </w:pPr>
                    </w:p>
                    <w:p w14:paraId="41FAAE9B" w14:textId="77777777" w:rsidR="00C57815" w:rsidRPr="001D1C8A" w:rsidRDefault="00C57815" w:rsidP="00C57815">
                      <w:pPr>
                        <w:pStyle w:val="Headline2"/>
                        <w:rPr>
                          <w:color w:val="404040"/>
                        </w:rPr>
                      </w:pPr>
                      <w:r w:rsidRPr="00060165">
                        <w:rPr>
                          <w:color w:val="404040"/>
                          <w:lang w:val="pl-PL"/>
                        </w:rPr>
                        <w:t>Kwiecień</w:t>
                      </w:r>
                      <w:r>
                        <w:rPr>
                          <w:color w:val="404040"/>
                        </w:rPr>
                        <w:t xml:space="preserve"> 2017</w:t>
                      </w:r>
                    </w:p>
                  </w:txbxContent>
                </v:textbox>
                <w10:wrap anchorx="page" anchory="page"/>
                <w10:anchorlock/>
              </v:shape>
            </w:pict>
          </mc:Fallback>
        </mc:AlternateContent>
      </w:r>
      <w:r w:rsidR="0071236A" w:rsidRPr="00C57815">
        <w:rPr>
          <w:noProof/>
          <w:lang w:val="pl-PL" w:eastAsia="en-GB"/>
        </w:rPr>
        <w:br w:type="page"/>
      </w:r>
      <w:r w:rsidR="009564B5" w:rsidRPr="004E6B45">
        <w:rPr>
          <w:rFonts w:eastAsia="Calibri"/>
          <w:lang w:val="pl-PL"/>
        </w:rPr>
        <w:lastRenderedPageBreak/>
        <w:t>W niniejszym raporcie prze</w:t>
      </w:r>
      <w:r w:rsidR="005C0E8A" w:rsidRPr="004E6B45">
        <w:rPr>
          <w:rFonts w:eastAsia="Calibri"/>
          <w:lang w:val="pl-PL"/>
        </w:rPr>
        <w:t>d</w:t>
      </w:r>
      <w:r w:rsidR="009564B5" w:rsidRPr="004E6B45">
        <w:rPr>
          <w:rFonts w:eastAsia="Calibri"/>
          <w:lang w:val="pl-PL"/>
        </w:rPr>
        <w:t>stawiono przewlekłą</w:t>
      </w:r>
      <w:r w:rsidR="000E45FB" w:rsidRPr="004E6B45">
        <w:rPr>
          <w:rFonts w:eastAsia="Calibri"/>
          <w:lang w:val="pl-PL"/>
        </w:rPr>
        <w:t xml:space="preserve"> </w:t>
      </w:r>
      <w:r w:rsidR="009564B5" w:rsidRPr="004E6B45">
        <w:rPr>
          <w:rFonts w:eastAsia="Calibri"/>
          <w:lang w:val="pl-PL"/>
        </w:rPr>
        <w:t xml:space="preserve">chorobę </w:t>
      </w:r>
      <w:r w:rsidR="000E45FB" w:rsidRPr="004E6B45">
        <w:rPr>
          <w:rFonts w:eastAsia="Calibri"/>
          <w:lang w:val="pl-PL"/>
        </w:rPr>
        <w:t xml:space="preserve">nerek jako problem zdrowotny, </w:t>
      </w:r>
      <w:r w:rsidR="009564B5" w:rsidRPr="004E6B45">
        <w:rPr>
          <w:rFonts w:eastAsia="Calibri"/>
          <w:lang w:val="pl-PL"/>
        </w:rPr>
        <w:t xml:space="preserve">zaprezentowano </w:t>
      </w:r>
      <w:r w:rsidR="000E45FB" w:rsidRPr="004E6B45">
        <w:rPr>
          <w:rFonts w:eastAsia="Calibri"/>
          <w:lang w:val="pl-PL"/>
        </w:rPr>
        <w:t xml:space="preserve">aktualny model opieki nad pacjentem w zaawansowanym stadium </w:t>
      </w:r>
      <w:proofErr w:type="spellStart"/>
      <w:r w:rsidR="000E45FB" w:rsidRPr="004E6B45">
        <w:rPr>
          <w:rFonts w:eastAsia="Calibri"/>
          <w:lang w:val="pl-PL"/>
        </w:rPr>
        <w:t>PChN</w:t>
      </w:r>
      <w:proofErr w:type="spellEnd"/>
      <w:r w:rsidR="000E45FB" w:rsidRPr="004E6B45">
        <w:rPr>
          <w:rFonts w:eastAsia="Calibri"/>
          <w:lang w:val="pl-PL"/>
        </w:rPr>
        <w:t xml:space="preserve"> oraz przedstawiono propozycję modelu opieki koordynowanej wraz z szacunkowymi kosztami związanymi z modyfikacją organizacji opieki.</w:t>
      </w:r>
      <w:r w:rsidR="009564B5" w:rsidRPr="004E6B45">
        <w:rPr>
          <w:rFonts w:eastAsia="Calibri"/>
          <w:lang w:val="pl-PL"/>
        </w:rPr>
        <w:t xml:space="preserve"> </w:t>
      </w:r>
    </w:p>
    <w:p w14:paraId="520A52D7" w14:textId="36866E3D" w:rsidR="000E45FB" w:rsidRPr="004E6B45" w:rsidRDefault="009564B5" w:rsidP="004E6B45">
      <w:pPr>
        <w:rPr>
          <w:rFonts w:eastAsia="Calibri"/>
          <w:lang w:val="pl-PL"/>
        </w:rPr>
      </w:pPr>
      <w:r w:rsidRPr="004E6B45">
        <w:rPr>
          <w:rFonts w:eastAsia="Calibri"/>
          <w:lang w:val="pl-PL"/>
        </w:rPr>
        <w:t>Przygotowana analiza został</w:t>
      </w:r>
      <w:r w:rsidR="000E45FB" w:rsidRPr="004E6B45">
        <w:rPr>
          <w:rFonts w:eastAsia="Calibri"/>
          <w:lang w:val="pl-PL"/>
        </w:rPr>
        <w:t>a przeprowadzona z uwzględnieniem konsultacji z przedstawicielami środowiska nefrologicznego.</w:t>
      </w:r>
    </w:p>
    <w:p w14:paraId="122AD3D1" w14:textId="6170E8D8" w:rsidR="009564B5" w:rsidRPr="00060165" w:rsidRDefault="009564B5" w:rsidP="004E6B45">
      <w:pPr>
        <w:rPr>
          <w:rFonts w:ascii="EYInterstate Regular" w:hAnsi="EYInterstate Regular"/>
          <w:color w:val="808080"/>
          <w:kern w:val="12"/>
          <w:sz w:val="20"/>
          <w:lang w:val="pl-PL"/>
        </w:rPr>
      </w:pPr>
      <w:r w:rsidRPr="004E6B45">
        <w:rPr>
          <w:rFonts w:eastAsia="Calibri"/>
          <w:lang w:val="pl-PL"/>
        </w:rPr>
        <w:t>Dokument należy czytać w całości, ponieważ</w:t>
      </w:r>
      <w:r w:rsidR="000E45FB" w:rsidRPr="004E6B45">
        <w:rPr>
          <w:rFonts w:eastAsia="Calibri"/>
          <w:lang w:val="pl-PL"/>
        </w:rPr>
        <w:t xml:space="preserve"> </w:t>
      </w:r>
      <w:r w:rsidRPr="004E6B45">
        <w:rPr>
          <w:rFonts w:eastAsia="Calibri"/>
          <w:lang w:val="pl-PL"/>
        </w:rPr>
        <w:t>jakakolwiek oddzielna analiza poszczegó</w:t>
      </w:r>
      <w:r w:rsidR="000E45FB" w:rsidRPr="004E6B45">
        <w:rPr>
          <w:rFonts w:eastAsia="Calibri"/>
          <w:lang w:val="pl-PL"/>
        </w:rPr>
        <w:t xml:space="preserve">lnych jego </w:t>
      </w:r>
      <w:r w:rsidRPr="004E6B45">
        <w:rPr>
          <w:rFonts w:eastAsia="Calibri"/>
          <w:lang w:val="pl-PL"/>
        </w:rPr>
        <w:t>części może prowadzić do błędnych wnioskó</w:t>
      </w:r>
      <w:r w:rsidR="000E45FB" w:rsidRPr="004E6B45">
        <w:rPr>
          <w:rFonts w:eastAsia="Calibri"/>
          <w:lang w:val="pl-PL"/>
        </w:rPr>
        <w:t xml:space="preserve">w. </w:t>
      </w:r>
      <w:r w:rsidRPr="004E6B45">
        <w:rPr>
          <w:rFonts w:eastAsia="Calibri"/>
          <w:lang w:val="pl-PL"/>
        </w:rPr>
        <w:t>Zgadzamy się na ujawnienie przez Zamawiają</w:t>
      </w:r>
      <w:r w:rsidR="000E45FB" w:rsidRPr="004E6B45">
        <w:rPr>
          <w:rFonts w:eastAsia="Calibri"/>
          <w:lang w:val="pl-PL"/>
        </w:rPr>
        <w:t xml:space="preserve">cego </w:t>
      </w:r>
      <w:r w:rsidRPr="004E6B45">
        <w:rPr>
          <w:rFonts w:eastAsia="Calibri"/>
          <w:lang w:val="pl-PL"/>
        </w:rPr>
        <w:t>wyłącznie całego raportu, przyjmując jednocześ</w:t>
      </w:r>
      <w:r w:rsidR="000E45FB" w:rsidRPr="004E6B45">
        <w:rPr>
          <w:rFonts w:eastAsia="Calibri"/>
          <w:lang w:val="pl-PL"/>
        </w:rPr>
        <w:t xml:space="preserve">nie, </w:t>
      </w:r>
      <w:r w:rsidRPr="004E6B45">
        <w:rPr>
          <w:rFonts w:eastAsia="Calibri"/>
          <w:lang w:val="pl-PL"/>
        </w:rPr>
        <w:t>ż</w:t>
      </w:r>
      <w:r w:rsidR="000E45FB" w:rsidRPr="004E6B45">
        <w:rPr>
          <w:rFonts w:eastAsia="Calibri"/>
          <w:lang w:val="pl-PL"/>
        </w:rPr>
        <w:t xml:space="preserve">e nie ponosimy jakiejkolwiek </w:t>
      </w:r>
      <w:r w:rsidRPr="004E6B45">
        <w:rPr>
          <w:rFonts w:eastAsia="Calibri"/>
          <w:lang w:val="pl-PL"/>
        </w:rPr>
        <w:t>odpowiedzialnoś</w:t>
      </w:r>
      <w:r w:rsidR="000E45FB" w:rsidRPr="004E6B45">
        <w:rPr>
          <w:rFonts w:eastAsia="Calibri"/>
          <w:lang w:val="pl-PL"/>
        </w:rPr>
        <w:t xml:space="preserve">ci lub </w:t>
      </w:r>
      <w:r w:rsidRPr="004E6B45">
        <w:rPr>
          <w:rFonts w:eastAsia="Calibri"/>
          <w:lang w:val="pl-PL"/>
        </w:rPr>
        <w:t>zobowiązań wobec podmiotów trzecich.</w:t>
      </w:r>
      <w:r w:rsidRPr="00060165">
        <w:rPr>
          <w:sz w:val="20"/>
          <w:lang w:val="pl-PL"/>
        </w:rPr>
        <w:br w:type="page"/>
      </w:r>
    </w:p>
    <w:p w14:paraId="1571307D" w14:textId="5B9F87D5" w:rsidR="00B264BF" w:rsidRPr="00060165" w:rsidRDefault="002A4761" w:rsidP="00B264BF">
      <w:pPr>
        <w:pStyle w:val="EYContents"/>
        <w:rPr>
          <w:lang w:val="pl-PL"/>
        </w:rPr>
      </w:pPr>
      <w:r w:rsidRPr="00060165">
        <w:rPr>
          <w:lang w:val="pl-PL"/>
        </w:rPr>
        <w:lastRenderedPageBreak/>
        <w:t>Spis treści</w:t>
      </w:r>
    </w:p>
    <w:p w14:paraId="58BB0ACB" w14:textId="77777777" w:rsidR="00F760DC" w:rsidRDefault="00AB6930">
      <w:pPr>
        <w:pStyle w:val="Spistreci1"/>
        <w:rPr>
          <w:rFonts w:asciiTheme="minorHAnsi" w:eastAsiaTheme="minorEastAsia" w:hAnsiTheme="minorHAnsi" w:cstheme="minorBidi"/>
          <w:kern w:val="0"/>
          <w:sz w:val="22"/>
          <w:szCs w:val="22"/>
          <w:lang w:val="pl-PL" w:eastAsia="pl-PL"/>
        </w:rPr>
      </w:pPr>
      <w:r>
        <w:fldChar w:fldCharType="begin"/>
      </w:r>
      <w:r>
        <w:instrText xml:space="preserve"> TOC \o "2-4" \h \z \t "Heading 1;1;EY Appendix;1;EY Heading 1;1" </w:instrText>
      </w:r>
      <w:r>
        <w:fldChar w:fldCharType="separate"/>
      </w:r>
      <w:hyperlink w:anchor="_Toc486537895" w:history="1">
        <w:r w:rsidR="00F760DC" w:rsidRPr="005F5D45">
          <w:rPr>
            <w:rStyle w:val="Hipercze"/>
            <w:rFonts w:eastAsia="Calibri"/>
            <w:b/>
          </w:rPr>
          <w:t>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rPr>
          <w:t>Streszczenie zarządcze</w:t>
        </w:r>
        <w:r w:rsidR="00F760DC">
          <w:rPr>
            <w:webHidden/>
          </w:rPr>
          <w:tab/>
        </w:r>
        <w:r w:rsidR="00F760DC">
          <w:rPr>
            <w:webHidden/>
          </w:rPr>
          <w:fldChar w:fldCharType="begin"/>
        </w:r>
        <w:r w:rsidR="00F760DC">
          <w:rPr>
            <w:webHidden/>
          </w:rPr>
          <w:instrText xml:space="preserve"> PAGEREF _Toc486537895 \h </w:instrText>
        </w:r>
        <w:r w:rsidR="00F760DC">
          <w:rPr>
            <w:webHidden/>
          </w:rPr>
        </w:r>
        <w:r w:rsidR="00F760DC">
          <w:rPr>
            <w:webHidden/>
          </w:rPr>
          <w:fldChar w:fldCharType="separate"/>
        </w:r>
        <w:r w:rsidR="005C7285">
          <w:rPr>
            <w:webHidden/>
          </w:rPr>
          <w:t>4</w:t>
        </w:r>
        <w:r w:rsidR="00F760DC">
          <w:rPr>
            <w:webHidden/>
          </w:rPr>
          <w:fldChar w:fldCharType="end"/>
        </w:r>
      </w:hyperlink>
    </w:p>
    <w:p w14:paraId="1A99F599" w14:textId="77777777" w:rsidR="00F760DC" w:rsidRDefault="00094076">
      <w:pPr>
        <w:pStyle w:val="Spistreci1"/>
        <w:rPr>
          <w:rFonts w:asciiTheme="minorHAnsi" w:eastAsiaTheme="minorEastAsia" w:hAnsiTheme="minorHAnsi" w:cstheme="minorBidi"/>
          <w:kern w:val="0"/>
          <w:sz w:val="22"/>
          <w:szCs w:val="22"/>
          <w:lang w:val="pl-PL" w:eastAsia="pl-PL"/>
        </w:rPr>
      </w:pPr>
      <w:hyperlink w:anchor="_Toc486537896" w:history="1">
        <w:r w:rsidR="00F760DC" w:rsidRPr="005F5D45">
          <w:rPr>
            <w:rStyle w:val="Hipercze"/>
            <w:rFonts w:eastAsia="Calibri"/>
            <w:b/>
            <w:lang w:val="pl-PL"/>
          </w:rPr>
          <w:t>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Definicja problemu</w:t>
        </w:r>
        <w:r w:rsidR="00F760DC">
          <w:rPr>
            <w:webHidden/>
          </w:rPr>
          <w:tab/>
        </w:r>
        <w:r w:rsidR="00F760DC">
          <w:rPr>
            <w:webHidden/>
          </w:rPr>
          <w:fldChar w:fldCharType="begin"/>
        </w:r>
        <w:r w:rsidR="00F760DC">
          <w:rPr>
            <w:webHidden/>
          </w:rPr>
          <w:instrText xml:space="preserve"> PAGEREF _Toc486537896 \h </w:instrText>
        </w:r>
        <w:r w:rsidR="00F760DC">
          <w:rPr>
            <w:webHidden/>
          </w:rPr>
        </w:r>
        <w:r w:rsidR="00F760DC">
          <w:rPr>
            <w:webHidden/>
          </w:rPr>
          <w:fldChar w:fldCharType="separate"/>
        </w:r>
        <w:r w:rsidR="005C7285">
          <w:rPr>
            <w:webHidden/>
          </w:rPr>
          <w:t>11</w:t>
        </w:r>
        <w:r w:rsidR="00F760DC">
          <w:rPr>
            <w:webHidden/>
          </w:rPr>
          <w:fldChar w:fldCharType="end"/>
        </w:r>
      </w:hyperlink>
    </w:p>
    <w:p w14:paraId="1F6FBEFB"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897" w:history="1">
        <w:r w:rsidR="00F760DC" w:rsidRPr="005F5D45">
          <w:rPr>
            <w:rStyle w:val="Hipercze"/>
            <w:rFonts w:eastAsia="Calibri"/>
            <w:b/>
            <w:lang w:val="pl-PL"/>
          </w:rPr>
          <w:t>2.1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Charakterystyka przewlekłej choroby nerek (PChN)</w:t>
        </w:r>
        <w:r w:rsidR="00F760DC">
          <w:rPr>
            <w:webHidden/>
          </w:rPr>
          <w:tab/>
        </w:r>
        <w:r w:rsidR="00F760DC">
          <w:rPr>
            <w:webHidden/>
          </w:rPr>
          <w:fldChar w:fldCharType="begin"/>
        </w:r>
        <w:r w:rsidR="00F760DC">
          <w:rPr>
            <w:webHidden/>
          </w:rPr>
          <w:instrText xml:space="preserve"> PAGEREF _Toc486537897 \h </w:instrText>
        </w:r>
        <w:r w:rsidR="00F760DC">
          <w:rPr>
            <w:webHidden/>
          </w:rPr>
        </w:r>
        <w:r w:rsidR="00F760DC">
          <w:rPr>
            <w:webHidden/>
          </w:rPr>
          <w:fldChar w:fldCharType="separate"/>
        </w:r>
        <w:r w:rsidR="005C7285">
          <w:rPr>
            <w:webHidden/>
          </w:rPr>
          <w:t>11</w:t>
        </w:r>
        <w:r w:rsidR="00F760DC">
          <w:rPr>
            <w:webHidden/>
          </w:rPr>
          <w:fldChar w:fldCharType="end"/>
        </w:r>
      </w:hyperlink>
    </w:p>
    <w:p w14:paraId="1CFE7934"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898" w:history="1">
        <w:r w:rsidR="00F760DC" w:rsidRPr="005F5D45">
          <w:rPr>
            <w:rStyle w:val="Hipercze"/>
            <w:rFonts w:eastAsia="Calibri"/>
            <w:b/>
            <w:lang w:val="pl-PL"/>
          </w:rPr>
          <w:t>2.1.1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Definicja, klasyfikacja ICD-10 i JGP</w:t>
        </w:r>
        <w:r w:rsidR="00F760DC">
          <w:rPr>
            <w:webHidden/>
          </w:rPr>
          <w:tab/>
        </w:r>
        <w:r w:rsidR="00F760DC">
          <w:rPr>
            <w:webHidden/>
          </w:rPr>
          <w:fldChar w:fldCharType="begin"/>
        </w:r>
        <w:r w:rsidR="00F760DC">
          <w:rPr>
            <w:webHidden/>
          </w:rPr>
          <w:instrText xml:space="preserve"> PAGEREF _Toc486537898 \h </w:instrText>
        </w:r>
        <w:r w:rsidR="00F760DC">
          <w:rPr>
            <w:webHidden/>
          </w:rPr>
        </w:r>
        <w:r w:rsidR="00F760DC">
          <w:rPr>
            <w:webHidden/>
          </w:rPr>
          <w:fldChar w:fldCharType="separate"/>
        </w:r>
        <w:r w:rsidR="005C7285">
          <w:rPr>
            <w:webHidden/>
          </w:rPr>
          <w:t>11</w:t>
        </w:r>
        <w:r w:rsidR="00F760DC">
          <w:rPr>
            <w:webHidden/>
          </w:rPr>
          <w:fldChar w:fldCharType="end"/>
        </w:r>
      </w:hyperlink>
    </w:p>
    <w:p w14:paraId="697C8772"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899" w:history="1">
        <w:r w:rsidR="00F760DC" w:rsidRPr="005F5D45">
          <w:rPr>
            <w:rStyle w:val="Hipercze"/>
            <w:b/>
            <w:lang w:val="pl-PL"/>
          </w:rPr>
          <w:t>2.1.2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Postępowanie diagnostyczne w PChN</w:t>
        </w:r>
        <w:r w:rsidR="00F760DC">
          <w:rPr>
            <w:webHidden/>
          </w:rPr>
          <w:tab/>
        </w:r>
        <w:r w:rsidR="00F760DC">
          <w:rPr>
            <w:webHidden/>
          </w:rPr>
          <w:fldChar w:fldCharType="begin"/>
        </w:r>
        <w:r w:rsidR="00F760DC">
          <w:rPr>
            <w:webHidden/>
          </w:rPr>
          <w:instrText xml:space="preserve"> PAGEREF _Toc486537899 \h </w:instrText>
        </w:r>
        <w:r w:rsidR="00F760DC">
          <w:rPr>
            <w:webHidden/>
          </w:rPr>
        </w:r>
        <w:r w:rsidR="00F760DC">
          <w:rPr>
            <w:webHidden/>
          </w:rPr>
          <w:fldChar w:fldCharType="separate"/>
        </w:r>
        <w:r w:rsidR="005C7285">
          <w:rPr>
            <w:webHidden/>
          </w:rPr>
          <w:t>12</w:t>
        </w:r>
        <w:r w:rsidR="00F760DC">
          <w:rPr>
            <w:webHidden/>
          </w:rPr>
          <w:fldChar w:fldCharType="end"/>
        </w:r>
      </w:hyperlink>
    </w:p>
    <w:p w14:paraId="69650C29"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00" w:history="1">
        <w:r w:rsidR="00F760DC" w:rsidRPr="005F5D45">
          <w:rPr>
            <w:rStyle w:val="Hipercze"/>
            <w:b/>
            <w:lang w:val="pl-PL"/>
          </w:rPr>
          <w:t>2.1.2.1</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Ustalenie rozpoznania, stopnia zaawansowania i przyczyny PChN</w:t>
        </w:r>
        <w:r w:rsidR="00F760DC">
          <w:rPr>
            <w:webHidden/>
          </w:rPr>
          <w:tab/>
        </w:r>
        <w:r w:rsidR="00F760DC">
          <w:rPr>
            <w:webHidden/>
          </w:rPr>
          <w:fldChar w:fldCharType="begin"/>
        </w:r>
        <w:r w:rsidR="00F760DC">
          <w:rPr>
            <w:webHidden/>
          </w:rPr>
          <w:instrText xml:space="preserve"> PAGEREF _Toc486537900 \h </w:instrText>
        </w:r>
        <w:r w:rsidR="00F760DC">
          <w:rPr>
            <w:webHidden/>
          </w:rPr>
        </w:r>
        <w:r w:rsidR="00F760DC">
          <w:rPr>
            <w:webHidden/>
          </w:rPr>
          <w:fldChar w:fldCharType="separate"/>
        </w:r>
        <w:r w:rsidR="005C7285">
          <w:rPr>
            <w:webHidden/>
          </w:rPr>
          <w:t>12</w:t>
        </w:r>
        <w:r w:rsidR="00F760DC">
          <w:rPr>
            <w:webHidden/>
          </w:rPr>
          <w:fldChar w:fldCharType="end"/>
        </w:r>
      </w:hyperlink>
    </w:p>
    <w:p w14:paraId="64906260"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01" w:history="1">
        <w:r w:rsidR="00F760DC" w:rsidRPr="005F5D45">
          <w:rPr>
            <w:rStyle w:val="Hipercze"/>
            <w:rFonts w:eastAsia="Calibri"/>
            <w:b/>
            <w:lang w:val="pl-PL"/>
          </w:rPr>
          <w:t>2.1.2.2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Ustalenie obecności czynników przyspieszających postęp choroby</w:t>
        </w:r>
        <w:r w:rsidR="00F760DC">
          <w:rPr>
            <w:webHidden/>
          </w:rPr>
          <w:tab/>
        </w:r>
        <w:r w:rsidR="00F760DC">
          <w:rPr>
            <w:webHidden/>
          </w:rPr>
          <w:fldChar w:fldCharType="begin"/>
        </w:r>
        <w:r w:rsidR="00F760DC">
          <w:rPr>
            <w:webHidden/>
          </w:rPr>
          <w:instrText xml:space="preserve"> PAGEREF _Toc486537901 \h </w:instrText>
        </w:r>
        <w:r w:rsidR="00F760DC">
          <w:rPr>
            <w:webHidden/>
          </w:rPr>
        </w:r>
        <w:r w:rsidR="00F760DC">
          <w:rPr>
            <w:webHidden/>
          </w:rPr>
          <w:fldChar w:fldCharType="separate"/>
        </w:r>
        <w:r w:rsidR="005C7285">
          <w:rPr>
            <w:webHidden/>
          </w:rPr>
          <w:t>16</w:t>
        </w:r>
        <w:r w:rsidR="00F760DC">
          <w:rPr>
            <w:webHidden/>
          </w:rPr>
          <w:fldChar w:fldCharType="end"/>
        </w:r>
      </w:hyperlink>
    </w:p>
    <w:p w14:paraId="121AE2C8"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02" w:history="1">
        <w:r w:rsidR="00F760DC" w:rsidRPr="005F5D45">
          <w:rPr>
            <w:rStyle w:val="Hipercze"/>
            <w:rFonts w:eastAsia="Calibri"/>
            <w:b/>
            <w:lang w:val="pl-PL"/>
          </w:rPr>
          <w:t>2.1.2.3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Ustalenie obecności powikłań i chorób współistniejących</w:t>
        </w:r>
        <w:r w:rsidR="00F760DC">
          <w:rPr>
            <w:webHidden/>
          </w:rPr>
          <w:tab/>
        </w:r>
        <w:r w:rsidR="00F760DC">
          <w:rPr>
            <w:webHidden/>
          </w:rPr>
          <w:fldChar w:fldCharType="begin"/>
        </w:r>
        <w:r w:rsidR="00F760DC">
          <w:rPr>
            <w:webHidden/>
          </w:rPr>
          <w:instrText xml:space="preserve"> PAGEREF _Toc486537902 \h </w:instrText>
        </w:r>
        <w:r w:rsidR="00F760DC">
          <w:rPr>
            <w:webHidden/>
          </w:rPr>
        </w:r>
        <w:r w:rsidR="00F760DC">
          <w:rPr>
            <w:webHidden/>
          </w:rPr>
          <w:fldChar w:fldCharType="separate"/>
        </w:r>
        <w:r w:rsidR="005C7285">
          <w:rPr>
            <w:webHidden/>
          </w:rPr>
          <w:t>17</w:t>
        </w:r>
        <w:r w:rsidR="00F760DC">
          <w:rPr>
            <w:webHidden/>
          </w:rPr>
          <w:fldChar w:fldCharType="end"/>
        </w:r>
      </w:hyperlink>
    </w:p>
    <w:p w14:paraId="2C7AC755"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03" w:history="1">
        <w:r w:rsidR="00F760DC" w:rsidRPr="005F5D45">
          <w:rPr>
            <w:rStyle w:val="Hipercze"/>
            <w:rFonts w:eastAsia="Calibri"/>
            <w:b/>
            <w:lang w:val="pl-PL"/>
          </w:rPr>
          <w:t>2.1.2.4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Ustalenie obecności czynników ryzyka sercowo-naczyniowego</w:t>
        </w:r>
        <w:r w:rsidR="00F760DC">
          <w:rPr>
            <w:webHidden/>
          </w:rPr>
          <w:tab/>
        </w:r>
        <w:r w:rsidR="00F760DC">
          <w:rPr>
            <w:webHidden/>
          </w:rPr>
          <w:fldChar w:fldCharType="begin"/>
        </w:r>
        <w:r w:rsidR="00F760DC">
          <w:rPr>
            <w:webHidden/>
          </w:rPr>
          <w:instrText xml:space="preserve"> PAGEREF _Toc486537903 \h </w:instrText>
        </w:r>
        <w:r w:rsidR="00F760DC">
          <w:rPr>
            <w:webHidden/>
          </w:rPr>
        </w:r>
        <w:r w:rsidR="00F760DC">
          <w:rPr>
            <w:webHidden/>
          </w:rPr>
          <w:fldChar w:fldCharType="separate"/>
        </w:r>
        <w:r w:rsidR="005C7285">
          <w:rPr>
            <w:webHidden/>
          </w:rPr>
          <w:t>19</w:t>
        </w:r>
        <w:r w:rsidR="00F760DC">
          <w:rPr>
            <w:webHidden/>
          </w:rPr>
          <w:fldChar w:fldCharType="end"/>
        </w:r>
      </w:hyperlink>
    </w:p>
    <w:p w14:paraId="7D3DD5F3"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04" w:history="1">
        <w:r w:rsidR="00F760DC" w:rsidRPr="005F5D45">
          <w:rPr>
            <w:rStyle w:val="Hipercze"/>
            <w:rFonts w:eastAsia="Calibri"/>
            <w:b/>
            <w:lang w:val="pl-PL"/>
          </w:rPr>
          <w:t>2.1.3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Obraz kliniczny przewlekłej choroby nerek</w:t>
        </w:r>
        <w:r w:rsidR="00F760DC">
          <w:rPr>
            <w:webHidden/>
          </w:rPr>
          <w:tab/>
        </w:r>
        <w:r w:rsidR="00F760DC">
          <w:rPr>
            <w:webHidden/>
          </w:rPr>
          <w:fldChar w:fldCharType="begin"/>
        </w:r>
        <w:r w:rsidR="00F760DC">
          <w:rPr>
            <w:webHidden/>
          </w:rPr>
          <w:instrText xml:space="preserve"> PAGEREF _Toc486537904 \h </w:instrText>
        </w:r>
        <w:r w:rsidR="00F760DC">
          <w:rPr>
            <w:webHidden/>
          </w:rPr>
        </w:r>
        <w:r w:rsidR="00F760DC">
          <w:rPr>
            <w:webHidden/>
          </w:rPr>
          <w:fldChar w:fldCharType="separate"/>
        </w:r>
        <w:r w:rsidR="005C7285">
          <w:rPr>
            <w:webHidden/>
          </w:rPr>
          <w:t>20</w:t>
        </w:r>
        <w:r w:rsidR="00F760DC">
          <w:rPr>
            <w:webHidden/>
          </w:rPr>
          <w:fldChar w:fldCharType="end"/>
        </w:r>
      </w:hyperlink>
    </w:p>
    <w:p w14:paraId="4845D5D2"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05" w:history="1">
        <w:r w:rsidR="00F760DC" w:rsidRPr="005F5D45">
          <w:rPr>
            <w:rStyle w:val="Hipercze"/>
            <w:rFonts w:eastAsia="Calibri"/>
            <w:b/>
            <w:lang w:val="pl-PL"/>
          </w:rPr>
          <w:t>2.1.4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Naturalny przebieg i rokowanie</w:t>
        </w:r>
        <w:r w:rsidR="00F760DC">
          <w:rPr>
            <w:webHidden/>
          </w:rPr>
          <w:tab/>
        </w:r>
        <w:r w:rsidR="00F760DC">
          <w:rPr>
            <w:webHidden/>
          </w:rPr>
          <w:fldChar w:fldCharType="begin"/>
        </w:r>
        <w:r w:rsidR="00F760DC">
          <w:rPr>
            <w:webHidden/>
          </w:rPr>
          <w:instrText xml:space="preserve"> PAGEREF _Toc486537905 \h </w:instrText>
        </w:r>
        <w:r w:rsidR="00F760DC">
          <w:rPr>
            <w:webHidden/>
          </w:rPr>
        </w:r>
        <w:r w:rsidR="00F760DC">
          <w:rPr>
            <w:webHidden/>
          </w:rPr>
          <w:fldChar w:fldCharType="separate"/>
        </w:r>
        <w:r w:rsidR="005C7285">
          <w:rPr>
            <w:webHidden/>
          </w:rPr>
          <w:t>22</w:t>
        </w:r>
        <w:r w:rsidR="00F760DC">
          <w:rPr>
            <w:webHidden/>
          </w:rPr>
          <w:fldChar w:fldCharType="end"/>
        </w:r>
      </w:hyperlink>
    </w:p>
    <w:p w14:paraId="3A28AD96"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06" w:history="1">
        <w:r w:rsidR="00F760DC" w:rsidRPr="005F5D45">
          <w:rPr>
            <w:rStyle w:val="Hipercze"/>
            <w:rFonts w:eastAsia="Calibri"/>
            <w:b/>
          </w:rPr>
          <w:t>2.1.5</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rPr>
          <w:t>Profilaktyka PChN</w:t>
        </w:r>
        <w:r w:rsidR="00F760DC">
          <w:rPr>
            <w:webHidden/>
          </w:rPr>
          <w:tab/>
        </w:r>
        <w:r w:rsidR="00F760DC">
          <w:rPr>
            <w:webHidden/>
          </w:rPr>
          <w:fldChar w:fldCharType="begin"/>
        </w:r>
        <w:r w:rsidR="00F760DC">
          <w:rPr>
            <w:webHidden/>
          </w:rPr>
          <w:instrText xml:space="preserve"> PAGEREF _Toc486537906 \h </w:instrText>
        </w:r>
        <w:r w:rsidR="00F760DC">
          <w:rPr>
            <w:webHidden/>
          </w:rPr>
        </w:r>
        <w:r w:rsidR="00F760DC">
          <w:rPr>
            <w:webHidden/>
          </w:rPr>
          <w:fldChar w:fldCharType="separate"/>
        </w:r>
        <w:r w:rsidR="005C7285">
          <w:rPr>
            <w:webHidden/>
          </w:rPr>
          <w:t>23</w:t>
        </w:r>
        <w:r w:rsidR="00F760DC">
          <w:rPr>
            <w:webHidden/>
          </w:rPr>
          <w:fldChar w:fldCharType="end"/>
        </w:r>
      </w:hyperlink>
    </w:p>
    <w:p w14:paraId="4598143B"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07" w:history="1">
        <w:r w:rsidR="00F760DC" w:rsidRPr="005F5D45">
          <w:rPr>
            <w:rStyle w:val="Hipercze"/>
            <w:rFonts w:eastAsia="Calibri"/>
            <w:b/>
            <w:lang w:val="pl-PL"/>
          </w:rPr>
          <w:t>2.2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Epidemiologia i główne wskaźniki</w:t>
        </w:r>
        <w:r w:rsidR="00F760DC">
          <w:rPr>
            <w:webHidden/>
          </w:rPr>
          <w:tab/>
        </w:r>
        <w:r w:rsidR="00F760DC">
          <w:rPr>
            <w:webHidden/>
          </w:rPr>
          <w:fldChar w:fldCharType="begin"/>
        </w:r>
        <w:r w:rsidR="00F760DC">
          <w:rPr>
            <w:webHidden/>
          </w:rPr>
          <w:instrText xml:space="preserve"> PAGEREF _Toc486537907 \h </w:instrText>
        </w:r>
        <w:r w:rsidR="00F760DC">
          <w:rPr>
            <w:webHidden/>
          </w:rPr>
        </w:r>
        <w:r w:rsidR="00F760DC">
          <w:rPr>
            <w:webHidden/>
          </w:rPr>
          <w:fldChar w:fldCharType="separate"/>
        </w:r>
        <w:r w:rsidR="005C7285">
          <w:rPr>
            <w:webHidden/>
          </w:rPr>
          <w:t>24</w:t>
        </w:r>
        <w:r w:rsidR="00F760DC">
          <w:rPr>
            <w:webHidden/>
          </w:rPr>
          <w:fldChar w:fldCharType="end"/>
        </w:r>
      </w:hyperlink>
    </w:p>
    <w:p w14:paraId="764CF2DF"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08" w:history="1">
        <w:r w:rsidR="00F760DC" w:rsidRPr="005F5D45">
          <w:rPr>
            <w:rStyle w:val="Hipercze"/>
            <w:rFonts w:eastAsia="Calibri"/>
            <w:b/>
            <w:lang w:val="pl-PL"/>
          </w:rPr>
          <w:t>2.2.1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Podstawowe dane epidemiologiczne</w:t>
        </w:r>
        <w:r w:rsidR="00F760DC">
          <w:rPr>
            <w:webHidden/>
          </w:rPr>
          <w:tab/>
        </w:r>
        <w:r w:rsidR="00F760DC">
          <w:rPr>
            <w:webHidden/>
          </w:rPr>
          <w:fldChar w:fldCharType="begin"/>
        </w:r>
        <w:r w:rsidR="00F760DC">
          <w:rPr>
            <w:webHidden/>
          </w:rPr>
          <w:instrText xml:space="preserve"> PAGEREF _Toc486537908 \h </w:instrText>
        </w:r>
        <w:r w:rsidR="00F760DC">
          <w:rPr>
            <w:webHidden/>
          </w:rPr>
        </w:r>
        <w:r w:rsidR="00F760DC">
          <w:rPr>
            <w:webHidden/>
          </w:rPr>
          <w:fldChar w:fldCharType="separate"/>
        </w:r>
        <w:r w:rsidR="005C7285">
          <w:rPr>
            <w:webHidden/>
          </w:rPr>
          <w:t>24</w:t>
        </w:r>
        <w:r w:rsidR="00F760DC">
          <w:rPr>
            <w:webHidden/>
          </w:rPr>
          <w:fldChar w:fldCharType="end"/>
        </w:r>
      </w:hyperlink>
    </w:p>
    <w:p w14:paraId="010E543E"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09" w:history="1">
        <w:r w:rsidR="00F760DC" w:rsidRPr="005F5D45">
          <w:rPr>
            <w:rStyle w:val="Hipercze"/>
            <w:rFonts w:eastAsia="Calibri"/>
            <w:b/>
            <w:lang w:val="pl-PL"/>
          </w:rPr>
          <w:t>2.2.2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Dane NFZ o pacjentach objętych opieką zdrowotną</w:t>
        </w:r>
        <w:r w:rsidR="00F760DC">
          <w:rPr>
            <w:webHidden/>
          </w:rPr>
          <w:tab/>
        </w:r>
        <w:r w:rsidR="00F760DC">
          <w:rPr>
            <w:webHidden/>
          </w:rPr>
          <w:fldChar w:fldCharType="begin"/>
        </w:r>
        <w:r w:rsidR="00F760DC">
          <w:rPr>
            <w:webHidden/>
          </w:rPr>
          <w:instrText xml:space="preserve"> PAGEREF _Toc486537909 \h </w:instrText>
        </w:r>
        <w:r w:rsidR="00F760DC">
          <w:rPr>
            <w:webHidden/>
          </w:rPr>
        </w:r>
        <w:r w:rsidR="00F760DC">
          <w:rPr>
            <w:webHidden/>
          </w:rPr>
          <w:fldChar w:fldCharType="separate"/>
        </w:r>
        <w:r w:rsidR="005C7285">
          <w:rPr>
            <w:webHidden/>
          </w:rPr>
          <w:t>25</w:t>
        </w:r>
        <w:r w:rsidR="00F760DC">
          <w:rPr>
            <w:webHidden/>
          </w:rPr>
          <w:fldChar w:fldCharType="end"/>
        </w:r>
      </w:hyperlink>
    </w:p>
    <w:p w14:paraId="1DC2927C"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10" w:history="1">
        <w:r w:rsidR="00F760DC" w:rsidRPr="005F5D45">
          <w:rPr>
            <w:rStyle w:val="Hipercze"/>
            <w:rFonts w:eastAsia="Calibri"/>
            <w:b/>
            <w:lang w:val="pl-PL"/>
          </w:rPr>
          <w:t>2.2.3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Dane o pacjentach podlegających leczeniu nerkozastępczemu</w:t>
        </w:r>
        <w:r w:rsidR="00F760DC">
          <w:rPr>
            <w:webHidden/>
          </w:rPr>
          <w:tab/>
        </w:r>
        <w:r w:rsidR="00F760DC">
          <w:rPr>
            <w:webHidden/>
          </w:rPr>
          <w:fldChar w:fldCharType="begin"/>
        </w:r>
        <w:r w:rsidR="00F760DC">
          <w:rPr>
            <w:webHidden/>
          </w:rPr>
          <w:instrText xml:space="preserve"> PAGEREF _Toc486537910 \h </w:instrText>
        </w:r>
        <w:r w:rsidR="00F760DC">
          <w:rPr>
            <w:webHidden/>
          </w:rPr>
        </w:r>
        <w:r w:rsidR="00F760DC">
          <w:rPr>
            <w:webHidden/>
          </w:rPr>
          <w:fldChar w:fldCharType="separate"/>
        </w:r>
        <w:r w:rsidR="005C7285">
          <w:rPr>
            <w:webHidden/>
          </w:rPr>
          <w:t>27</w:t>
        </w:r>
        <w:r w:rsidR="00F760DC">
          <w:rPr>
            <w:webHidden/>
          </w:rPr>
          <w:fldChar w:fldCharType="end"/>
        </w:r>
      </w:hyperlink>
    </w:p>
    <w:p w14:paraId="4C7A6F39"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11" w:history="1">
        <w:r w:rsidR="00F760DC" w:rsidRPr="005F5D45">
          <w:rPr>
            <w:rStyle w:val="Hipercze"/>
            <w:rFonts w:eastAsia="Calibri"/>
            <w:b/>
            <w:lang w:val="pl-PL"/>
          </w:rPr>
          <w:t>2.2.4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Czynniki ryzyka wystąpienia przewlekłej choroby nerek</w:t>
        </w:r>
        <w:r w:rsidR="00F760DC">
          <w:rPr>
            <w:webHidden/>
          </w:rPr>
          <w:tab/>
        </w:r>
        <w:r w:rsidR="00F760DC">
          <w:rPr>
            <w:webHidden/>
          </w:rPr>
          <w:fldChar w:fldCharType="begin"/>
        </w:r>
        <w:r w:rsidR="00F760DC">
          <w:rPr>
            <w:webHidden/>
          </w:rPr>
          <w:instrText xml:space="preserve"> PAGEREF _Toc486537911 \h </w:instrText>
        </w:r>
        <w:r w:rsidR="00F760DC">
          <w:rPr>
            <w:webHidden/>
          </w:rPr>
        </w:r>
        <w:r w:rsidR="00F760DC">
          <w:rPr>
            <w:webHidden/>
          </w:rPr>
          <w:fldChar w:fldCharType="separate"/>
        </w:r>
        <w:r w:rsidR="005C7285">
          <w:rPr>
            <w:webHidden/>
          </w:rPr>
          <w:t>28</w:t>
        </w:r>
        <w:r w:rsidR="00F760DC">
          <w:rPr>
            <w:webHidden/>
          </w:rPr>
          <w:fldChar w:fldCharType="end"/>
        </w:r>
      </w:hyperlink>
    </w:p>
    <w:p w14:paraId="1009AA53"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12" w:history="1">
        <w:r w:rsidR="00F760DC" w:rsidRPr="005F5D45">
          <w:rPr>
            <w:rStyle w:val="Hipercze"/>
            <w:rFonts w:eastAsia="Calibri"/>
            <w:b/>
            <w:lang w:val="pl-PL"/>
          </w:rPr>
          <w:t>2.3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Leczenie PChN</w:t>
        </w:r>
        <w:r w:rsidR="00F760DC">
          <w:rPr>
            <w:webHidden/>
          </w:rPr>
          <w:tab/>
        </w:r>
        <w:r w:rsidR="00F760DC">
          <w:rPr>
            <w:webHidden/>
          </w:rPr>
          <w:fldChar w:fldCharType="begin"/>
        </w:r>
        <w:r w:rsidR="00F760DC">
          <w:rPr>
            <w:webHidden/>
          </w:rPr>
          <w:instrText xml:space="preserve"> PAGEREF _Toc486537912 \h </w:instrText>
        </w:r>
        <w:r w:rsidR="00F760DC">
          <w:rPr>
            <w:webHidden/>
          </w:rPr>
        </w:r>
        <w:r w:rsidR="00F760DC">
          <w:rPr>
            <w:webHidden/>
          </w:rPr>
          <w:fldChar w:fldCharType="separate"/>
        </w:r>
        <w:r w:rsidR="005C7285">
          <w:rPr>
            <w:webHidden/>
          </w:rPr>
          <w:t>29</w:t>
        </w:r>
        <w:r w:rsidR="00F760DC">
          <w:rPr>
            <w:webHidden/>
          </w:rPr>
          <w:fldChar w:fldCharType="end"/>
        </w:r>
      </w:hyperlink>
    </w:p>
    <w:p w14:paraId="5DD7EE65"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13" w:history="1">
        <w:r w:rsidR="00F760DC" w:rsidRPr="005F5D45">
          <w:rPr>
            <w:rStyle w:val="Hipercze"/>
            <w:rFonts w:eastAsia="Calibri"/>
            <w:b/>
            <w:lang w:val="pl-PL"/>
          </w:rPr>
          <w:t>2.3.1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Leczenie przyczynowe i leczenie chorób współistniejących</w:t>
        </w:r>
        <w:r w:rsidR="00F760DC">
          <w:rPr>
            <w:webHidden/>
          </w:rPr>
          <w:tab/>
        </w:r>
        <w:r w:rsidR="00F760DC">
          <w:rPr>
            <w:webHidden/>
          </w:rPr>
          <w:fldChar w:fldCharType="begin"/>
        </w:r>
        <w:r w:rsidR="00F760DC">
          <w:rPr>
            <w:webHidden/>
          </w:rPr>
          <w:instrText xml:space="preserve"> PAGEREF _Toc486537913 \h </w:instrText>
        </w:r>
        <w:r w:rsidR="00F760DC">
          <w:rPr>
            <w:webHidden/>
          </w:rPr>
        </w:r>
        <w:r w:rsidR="00F760DC">
          <w:rPr>
            <w:webHidden/>
          </w:rPr>
          <w:fldChar w:fldCharType="separate"/>
        </w:r>
        <w:r w:rsidR="005C7285">
          <w:rPr>
            <w:webHidden/>
          </w:rPr>
          <w:t>29</w:t>
        </w:r>
        <w:r w:rsidR="00F760DC">
          <w:rPr>
            <w:webHidden/>
          </w:rPr>
          <w:fldChar w:fldCharType="end"/>
        </w:r>
      </w:hyperlink>
    </w:p>
    <w:p w14:paraId="3FE17408"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14" w:history="1">
        <w:r w:rsidR="00F760DC" w:rsidRPr="005F5D45">
          <w:rPr>
            <w:rStyle w:val="Hipercze"/>
            <w:rFonts w:eastAsia="Calibri"/>
            <w:b/>
            <w:lang w:val="pl-PL"/>
          </w:rPr>
          <w:t>2.3.2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Hamowanie postępu i zapobieganie powikłaniom PChN</w:t>
        </w:r>
        <w:r w:rsidR="00F760DC">
          <w:rPr>
            <w:webHidden/>
          </w:rPr>
          <w:tab/>
        </w:r>
        <w:r w:rsidR="00F760DC">
          <w:rPr>
            <w:webHidden/>
          </w:rPr>
          <w:fldChar w:fldCharType="begin"/>
        </w:r>
        <w:r w:rsidR="00F760DC">
          <w:rPr>
            <w:webHidden/>
          </w:rPr>
          <w:instrText xml:space="preserve"> PAGEREF _Toc486537914 \h </w:instrText>
        </w:r>
        <w:r w:rsidR="00F760DC">
          <w:rPr>
            <w:webHidden/>
          </w:rPr>
        </w:r>
        <w:r w:rsidR="00F760DC">
          <w:rPr>
            <w:webHidden/>
          </w:rPr>
          <w:fldChar w:fldCharType="separate"/>
        </w:r>
        <w:r w:rsidR="005C7285">
          <w:rPr>
            <w:webHidden/>
          </w:rPr>
          <w:t>29</w:t>
        </w:r>
        <w:r w:rsidR="00F760DC">
          <w:rPr>
            <w:webHidden/>
          </w:rPr>
          <w:fldChar w:fldCharType="end"/>
        </w:r>
      </w:hyperlink>
    </w:p>
    <w:p w14:paraId="472D1A7E"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15" w:history="1">
        <w:r w:rsidR="00F760DC" w:rsidRPr="005F5D45">
          <w:rPr>
            <w:rStyle w:val="Hipercze"/>
            <w:rFonts w:eastAsia="Calibri"/>
            <w:b/>
            <w:lang w:val="pl-PL"/>
          </w:rPr>
          <w:t>2.3.3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Przygotowanie do leczenia nerkozastępczego</w:t>
        </w:r>
        <w:r w:rsidR="00F760DC">
          <w:rPr>
            <w:webHidden/>
          </w:rPr>
          <w:tab/>
        </w:r>
        <w:r w:rsidR="00F760DC">
          <w:rPr>
            <w:webHidden/>
          </w:rPr>
          <w:fldChar w:fldCharType="begin"/>
        </w:r>
        <w:r w:rsidR="00F760DC">
          <w:rPr>
            <w:webHidden/>
          </w:rPr>
          <w:instrText xml:space="preserve"> PAGEREF _Toc486537915 \h </w:instrText>
        </w:r>
        <w:r w:rsidR="00F760DC">
          <w:rPr>
            <w:webHidden/>
          </w:rPr>
        </w:r>
        <w:r w:rsidR="00F760DC">
          <w:rPr>
            <w:webHidden/>
          </w:rPr>
          <w:fldChar w:fldCharType="separate"/>
        </w:r>
        <w:r w:rsidR="005C7285">
          <w:rPr>
            <w:webHidden/>
          </w:rPr>
          <w:t>30</w:t>
        </w:r>
        <w:r w:rsidR="00F760DC">
          <w:rPr>
            <w:webHidden/>
          </w:rPr>
          <w:fldChar w:fldCharType="end"/>
        </w:r>
      </w:hyperlink>
    </w:p>
    <w:p w14:paraId="285E2778"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16" w:history="1">
        <w:r w:rsidR="00F760DC" w:rsidRPr="005F5D45">
          <w:rPr>
            <w:rStyle w:val="Hipercze"/>
            <w:rFonts w:eastAsia="Calibri"/>
            <w:b/>
            <w:lang w:val="pl-PL"/>
          </w:rPr>
          <w:t>2.3.4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Leczenie nerkozastępcze</w:t>
        </w:r>
        <w:r w:rsidR="00F760DC">
          <w:rPr>
            <w:webHidden/>
          </w:rPr>
          <w:tab/>
        </w:r>
        <w:r w:rsidR="00F760DC">
          <w:rPr>
            <w:webHidden/>
          </w:rPr>
          <w:fldChar w:fldCharType="begin"/>
        </w:r>
        <w:r w:rsidR="00F760DC">
          <w:rPr>
            <w:webHidden/>
          </w:rPr>
          <w:instrText xml:space="preserve"> PAGEREF _Toc486537916 \h </w:instrText>
        </w:r>
        <w:r w:rsidR="00F760DC">
          <w:rPr>
            <w:webHidden/>
          </w:rPr>
        </w:r>
        <w:r w:rsidR="00F760DC">
          <w:rPr>
            <w:webHidden/>
          </w:rPr>
          <w:fldChar w:fldCharType="separate"/>
        </w:r>
        <w:r w:rsidR="005C7285">
          <w:rPr>
            <w:webHidden/>
          </w:rPr>
          <w:t>30</w:t>
        </w:r>
        <w:r w:rsidR="00F760DC">
          <w:rPr>
            <w:webHidden/>
          </w:rPr>
          <w:fldChar w:fldCharType="end"/>
        </w:r>
      </w:hyperlink>
    </w:p>
    <w:p w14:paraId="3F1CFC50"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17" w:history="1">
        <w:r w:rsidR="00F760DC" w:rsidRPr="005F5D45">
          <w:rPr>
            <w:rStyle w:val="Hipercze"/>
            <w:rFonts w:eastAsia="Calibri"/>
            <w:b/>
            <w:lang w:val="pl-PL"/>
          </w:rPr>
          <w:t>2.3.4.1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Hemodializa</w:t>
        </w:r>
        <w:r w:rsidR="00F760DC">
          <w:rPr>
            <w:webHidden/>
          </w:rPr>
          <w:tab/>
        </w:r>
        <w:r w:rsidR="00F760DC">
          <w:rPr>
            <w:webHidden/>
          </w:rPr>
          <w:fldChar w:fldCharType="begin"/>
        </w:r>
        <w:r w:rsidR="00F760DC">
          <w:rPr>
            <w:webHidden/>
          </w:rPr>
          <w:instrText xml:space="preserve"> PAGEREF _Toc486537917 \h </w:instrText>
        </w:r>
        <w:r w:rsidR="00F760DC">
          <w:rPr>
            <w:webHidden/>
          </w:rPr>
        </w:r>
        <w:r w:rsidR="00F760DC">
          <w:rPr>
            <w:webHidden/>
          </w:rPr>
          <w:fldChar w:fldCharType="separate"/>
        </w:r>
        <w:r w:rsidR="005C7285">
          <w:rPr>
            <w:webHidden/>
          </w:rPr>
          <w:t>31</w:t>
        </w:r>
        <w:r w:rsidR="00F760DC">
          <w:rPr>
            <w:webHidden/>
          </w:rPr>
          <w:fldChar w:fldCharType="end"/>
        </w:r>
      </w:hyperlink>
    </w:p>
    <w:p w14:paraId="56085B1C"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18" w:history="1">
        <w:r w:rsidR="00F760DC" w:rsidRPr="005F5D45">
          <w:rPr>
            <w:rStyle w:val="Hipercze"/>
            <w:rFonts w:eastAsia="Calibri"/>
            <w:b/>
            <w:lang w:val="pl-PL"/>
          </w:rPr>
          <w:t>2.3.4.2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Dializa otrzewnowa</w:t>
        </w:r>
        <w:r w:rsidR="00F760DC">
          <w:rPr>
            <w:webHidden/>
          </w:rPr>
          <w:tab/>
        </w:r>
        <w:r w:rsidR="00F760DC">
          <w:rPr>
            <w:webHidden/>
          </w:rPr>
          <w:fldChar w:fldCharType="begin"/>
        </w:r>
        <w:r w:rsidR="00F760DC">
          <w:rPr>
            <w:webHidden/>
          </w:rPr>
          <w:instrText xml:space="preserve"> PAGEREF _Toc486537918 \h </w:instrText>
        </w:r>
        <w:r w:rsidR="00F760DC">
          <w:rPr>
            <w:webHidden/>
          </w:rPr>
        </w:r>
        <w:r w:rsidR="00F760DC">
          <w:rPr>
            <w:webHidden/>
          </w:rPr>
          <w:fldChar w:fldCharType="separate"/>
        </w:r>
        <w:r w:rsidR="005C7285">
          <w:rPr>
            <w:webHidden/>
          </w:rPr>
          <w:t>31</w:t>
        </w:r>
        <w:r w:rsidR="00F760DC">
          <w:rPr>
            <w:webHidden/>
          </w:rPr>
          <w:fldChar w:fldCharType="end"/>
        </w:r>
      </w:hyperlink>
    </w:p>
    <w:p w14:paraId="199C170B"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19" w:history="1">
        <w:r w:rsidR="00F760DC" w:rsidRPr="005F5D45">
          <w:rPr>
            <w:rStyle w:val="Hipercze"/>
            <w:rFonts w:eastAsia="Calibri"/>
            <w:b/>
            <w:lang w:val="pl-PL"/>
          </w:rPr>
          <w:t>2.3.4.3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Hemodiafiltracja</w:t>
        </w:r>
        <w:r w:rsidR="00F760DC">
          <w:rPr>
            <w:webHidden/>
          </w:rPr>
          <w:tab/>
        </w:r>
        <w:r w:rsidR="00F760DC">
          <w:rPr>
            <w:webHidden/>
          </w:rPr>
          <w:fldChar w:fldCharType="begin"/>
        </w:r>
        <w:r w:rsidR="00F760DC">
          <w:rPr>
            <w:webHidden/>
          </w:rPr>
          <w:instrText xml:space="preserve"> PAGEREF _Toc486537919 \h </w:instrText>
        </w:r>
        <w:r w:rsidR="00F760DC">
          <w:rPr>
            <w:webHidden/>
          </w:rPr>
        </w:r>
        <w:r w:rsidR="00F760DC">
          <w:rPr>
            <w:webHidden/>
          </w:rPr>
          <w:fldChar w:fldCharType="separate"/>
        </w:r>
        <w:r w:rsidR="005C7285">
          <w:rPr>
            <w:webHidden/>
          </w:rPr>
          <w:t>32</w:t>
        </w:r>
        <w:r w:rsidR="00F760DC">
          <w:rPr>
            <w:webHidden/>
          </w:rPr>
          <w:fldChar w:fldCharType="end"/>
        </w:r>
      </w:hyperlink>
    </w:p>
    <w:p w14:paraId="142CBA9E"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20" w:history="1">
        <w:r w:rsidR="00F760DC" w:rsidRPr="005F5D45">
          <w:rPr>
            <w:rStyle w:val="Hipercze"/>
            <w:rFonts w:eastAsia="Calibri"/>
            <w:b/>
            <w:lang w:val="pl-PL"/>
          </w:rPr>
          <w:t>2.3.4.4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Przeszczepienie nerki</w:t>
        </w:r>
        <w:r w:rsidR="00F760DC">
          <w:rPr>
            <w:webHidden/>
          </w:rPr>
          <w:tab/>
        </w:r>
        <w:r w:rsidR="00F760DC">
          <w:rPr>
            <w:webHidden/>
          </w:rPr>
          <w:fldChar w:fldCharType="begin"/>
        </w:r>
        <w:r w:rsidR="00F760DC">
          <w:rPr>
            <w:webHidden/>
          </w:rPr>
          <w:instrText xml:space="preserve"> PAGEREF _Toc486537920 \h </w:instrText>
        </w:r>
        <w:r w:rsidR="00F760DC">
          <w:rPr>
            <w:webHidden/>
          </w:rPr>
        </w:r>
        <w:r w:rsidR="00F760DC">
          <w:rPr>
            <w:webHidden/>
          </w:rPr>
          <w:fldChar w:fldCharType="separate"/>
        </w:r>
        <w:r w:rsidR="005C7285">
          <w:rPr>
            <w:webHidden/>
          </w:rPr>
          <w:t>33</w:t>
        </w:r>
        <w:r w:rsidR="00F760DC">
          <w:rPr>
            <w:webHidden/>
          </w:rPr>
          <w:fldChar w:fldCharType="end"/>
        </w:r>
      </w:hyperlink>
    </w:p>
    <w:p w14:paraId="13000D07" w14:textId="77777777" w:rsidR="00F760DC" w:rsidRDefault="00094076">
      <w:pPr>
        <w:pStyle w:val="Spistreci1"/>
        <w:rPr>
          <w:rFonts w:asciiTheme="minorHAnsi" w:eastAsiaTheme="minorEastAsia" w:hAnsiTheme="minorHAnsi" w:cstheme="minorBidi"/>
          <w:kern w:val="0"/>
          <w:sz w:val="22"/>
          <w:szCs w:val="22"/>
          <w:lang w:val="pl-PL" w:eastAsia="pl-PL"/>
        </w:rPr>
      </w:pPr>
      <w:hyperlink w:anchor="_Toc486537921" w:history="1">
        <w:r w:rsidR="00F760DC" w:rsidRPr="005F5D45">
          <w:rPr>
            <w:rStyle w:val="Hipercze"/>
            <w:rFonts w:eastAsia="Calibri"/>
            <w:b/>
            <w:lang w:val="pl-PL"/>
          </w:rPr>
          <w:t>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Aktualny stan opieki</w:t>
        </w:r>
        <w:r w:rsidR="00F760DC">
          <w:rPr>
            <w:webHidden/>
          </w:rPr>
          <w:tab/>
        </w:r>
        <w:r w:rsidR="00F760DC">
          <w:rPr>
            <w:webHidden/>
          </w:rPr>
          <w:fldChar w:fldCharType="begin"/>
        </w:r>
        <w:r w:rsidR="00F760DC">
          <w:rPr>
            <w:webHidden/>
          </w:rPr>
          <w:instrText xml:space="preserve"> PAGEREF _Toc486537921 \h </w:instrText>
        </w:r>
        <w:r w:rsidR="00F760DC">
          <w:rPr>
            <w:webHidden/>
          </w:rPr>
        </w:r>
        <w:r w:rsidR="00F760DC">
          <w:rPr>
            <w:webHidden/>
          </w:rPr>
          <w:fldChar w:fldCharType="separate"/>
        </w:r>
        <w:r w:rsidR="005C7285">
          <w:rPr>
            <w:webHidden/>
          </w:rPr>
          <w:t>35</w:t>
        </w:r>
        <w:r w:rsidR="00F760DC">
          <w:rPr>
            <w:webHidden/>
          </w:rPr>
          <w:fldChar w:fldCharType="end"/>
        </w:r>
      </w:hyperlink>
    </w:p>
    <w:p w14:paraId="04007FEB"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22" w:history="1">
        <w:r w:rsidR="00F760DC" w:rsidRPr="005F5D45">
          <w:rPr>
            <w:rStyle w:val="Hipercze"/>
            <w:rFonts w:eastAsia="Calibri"/>
            <w:b/>
            <w:lang w:val="pl-PL"/>
          </w:rPr>
          <w:t>3.1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Świadczeniodawcy zaangażowani w opiekę nad pacjentem nefrologicznym</w:t>
        </w:r>
        <w:r w:rsidR="00F760DC">
          <w:rPr>
            <w:webHidden/>
          </w:rPr>
          <w:tab/>
        </w:r>
        <w:r w:rsidR="00F760DC">
          <w:rPr>
            <w:webHidden/>
          </w:rPr>
          <w:fldChar w:fldCharType="begin"/>
        </w:r>
        <w:r w:rsidR="00F760DC">
          <w:rPr>
            <w:webHidden/>
          </w:rPr>
          <w:instrText xml:space="preserve"> PAGEREF _Toc486537922 \h </w:instrText>
        </w:r>
        <w:r w:rsidR="00F760DC">
          <w:rPr>
            <w:webHidden/>
          </w:rPr>
        </w:r>
        <w:r w:rsidR="00F760DC">
          <w:rPr>
            <w:webHidden/>
          </w:rPr>
          <w:fldChar w:fldCharType="separate"/>
        </w:r>
        <w:r w:rsidR="005C7285">
          <w:rPr>
            <w:webHidden/>
          </w:rPr>
          <w:t>35</w:t>
        </w:r>
        <w:r w:rsidR="00F760DC">
          <w:rPr>
            <w:webHidden/>
          </w:rPr>
          <w:fldChar w:fldCharType="end"/>
        </w:r>
      </w:hyperlink>
    </w:p>
    <w:p w14:paraId="2237FA98"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23" w:history="1">
        <w:r w:rsidR="00F760DC" w:rsidRPr="005F5D45">
          <w:rPr>
            <w:rStyle w:val="Hipercze"/>
            <w:rFonts w:eastAsia="Calibri"/>
            <w:b/>
            <w:lang w:val="pl-PL"/>
          </w:rPr>
          <w:t>3.2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Funkcje i role poszczególnych podmiotów w standardowej ścieżce pacjenta z PChN - główne</w:t>
        </w:r>
        <w:r w:rsidR="00F760DC" w:rsidRPr="005F5D45">
          <w:rPr>
            <w:rStyle w:val="Hipercze"/>
            <w:lang w:val="pl-PL"/>
          </w:rPr>
          <w:t xml:space="preserve"> </w:t>
        </w:r>
        <w:r w:rsidR="00F760DC" w:rsidRPr="005F5D45">
          <w:rPr>
            <w:rStyle w:val="Hipercze"/>
            <w:rFonts w:eastAsia="Calibri"/>
            <w:lang w:val="pl-PL"/>
          </w:rPr>
          <w:t>tezy problemu organizacji opieki</w:t>
        </w:r>
        <w:r w:rsidR="00F760DC">
          <w:rPr>
            <w:webHidden/>
          </w:rPr>
          <w:tab/>
        </w:r>
        <w:r w:rsidR="00F760DC">
          <w:rPr>
            <w:webHidden/>
          </w:rPr>
          <w:fldChar w:fldCharType="begin"/>
        </w:r>
        <w:r w:rsidR="00F760DC">
          <w:rPr>
            <w:webHidden/>
          </w:rPr>
          <w:instrText xml:space="preserve"> PAGEREF _Toc486537923 \h </w:instrText>
        </w:r>
        <w:r w:rsidR="00F760DC">
          <w:rPr>
            <w:webHidden/>
          </w:rPr>
        </w:r>
        <w:r w:rsidR="00F760DC">
          <w:rPr>
            <w:webHidden/>
          </w:rPr>
          <w:fldChar w:fldCharType="separate"/>
        </w:r>
        <w:r w:rsidR="005C7285">
          <w:rPr>
            <w:webHidden/>
          </w:rPr>
          <w:t>35</w:t>
        </w:r>
        <w:r w:rsidR="00F760DC">
          <w:rPr>
            <w:webHidden/>
          </w:rPr>
          <w:fldChar w:fldCharType="end"/>
        </w:r>
      </w:hyperlink>
    </w:p>
    <w:p w14:paraId="589550BD"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24" w:history="1">
        <w:r w:rsidR="00F760DC" w:rsidRPr="005F5D45">
          <w:rPr>
            <w:rStyle w:val="Hipercze"/>
            <w:rFonts w:eastAsia="Calibri"/>
            <w:b/>
            <w:lang w:val="pl-PL"/>
          </w:rPr>
          <w:t>3.3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Dostępne świadczenia i zasoby w ramach systemu opieki nad pacjentem z PChN</w:t>
        </w:r>
        <w:r w:rsidR="00F760DC">
          <w:rPr>
            <w:webHidden/>
          </w:rPr>
          <w:tab/>
        </w:r>
        <w:r w:rsidR="00F760DC">
          <w:rPr>
            <w:webHidden/>
          </w:rPr>
          <w:fldChar w:fldCharType="begin"/>
        </w:r>
        <w:r w:rsidR="00F760DC">
          <w:rPr>
            <w:webHidden/>
          </w:rPr>
          <w:instrText xml:space="preserve"> PAGEREF _Toc486537924 \h </w:instrText>
        </w:r>
        <w:r w:rsidR="00F760DC">
          <w:rPr>
            <w:webHidden/>
          </w:rPr>
        </w:r>
        <w:r w:rsidR="00F760DC">
          <w:rPr>
            <w:webHidden/>
          </w:rPr>
          <w:fldChar w:fldCharType="separate"/>
        </w:r>
        <w:r w:rsidR="005C7285">
          <w:rPr>
            <w:webHidden/>
          </w:rPr>
          <w:t>41</w:t>
        </w:r>
        <w:r w:rsidR="00F760DC">
          <w:rPr>
            <w:webHidden/>
          </w:rPr>
          <w:fldChar w:fldCharType="end"/>
        </w:r>
      </w:hyperlink>
    </w:p>
    <w:p w14:paraId="73475359"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25" w:history="1">
        <w:r w:rsidR="00F760DC" w:rsidRPr="005F5D45">
          <w:rPr>
            <w:rStyle w:val="Hipercze"/>
            <w:rFonts w:eastAsia="Calibri"/>
            <w:b/>
            <w:lang w:val="pl-PL"/>
          </w:rPr>
          <w:t>3.3.1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Zakres i finansowanie świadczeń</w:t>
        </w:r>
        <w:r w:rsidR="00F760DC">
          <w:rPr>
            <w:webHidden/>
          </w:rPr>
          <w:tab/>
        </w:r>
        <w:r w:rsidR="00F760DC">
          <w:rPr>
            <w:webHidden/>
          </w:rPr>
          <w:fldChar w:fldCharType="begin"/>
        </w:r>
        <w:r w:rsidR="00F760DC">
          <w:rPr>
            <w:webHidden/>
          </w:rPr>
          <w:instrText xml:space="preserve"> PAGEREF _Toc486537925 \h </w:instrText>
        </w:r>
        <w:r w:rsidR="00F760DC">
          <w:rPr>
            <w:webHidden/>
          </w:rPr>
        </w:r>
        <w:r w:rsidR="00F760DC">
          <w:rPr>
            <w:webHidden/>
          </w:rPr>
          <w:fldChar w:fldCharType="separate"/>
        </w:r>
        <w:r w:rsidR="005C7285">
          <w:rPr>
            <w:webHidden/>
          </w:rPr>
          <w:t>41</w:t>
        </w:r>
        <w:r w:rsidR="00F760DC">
          <w:rPr>
            <w:webHidden/>
          </w:rPr>
          <w:fldChar w:fldCharType="end"/>
        </w:r>
      </w:hyperlink>
    </w:p>
    <w:p w14:paraId="125584BB"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26" w:history="1">
        <w:r w:rsidR="00F760DC" w:rsidRPr="005F5D45">
          <w:rPr>
            <w:rStyle w:val="Hipercze"/>
            <w:rFonts w:eastAsia="Calibri"/>
            <w:b/>
            <w:lang w:val="pl-PL"/>
          </w:rPr>
          <w:t>3.3.2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Dostępność zasobów</w:t>
        </w:r>
        <w:r w:rsidR="00F760DC">
          <w:rPr>
            <w:webHidden/>
          </w:rPr>
          <w:tab/>
        </w:r>
        <w:r w:rsidR="00F760DC">
          <w:rPr>
            <w:webHidden/>
          </w:rPr>
          <w:fldChar w:fldCharType="begin"/>
        </w:r>
        <w:r w:rsidR="00F760DC">
          <w:rPr>
            <w:webHidden/>
          </w:rPr>
          <w:instrText xml:space="preserve"> PAGEREF _Toc486537926 \h </w:instrText>
        </w:r>
        <w:r w:rsidR="00F760DC">
          <w:rPr>
            <w:webHidden/>
          </w:rPr>
        </w:r>
        <w:r w:rsidR="00F760DC">
          <w:rPr>
            <w:webHidden/>
          </w:rPr>
          <w:fldChar w:fldCharType="separate"/>
        </w:r>
        <w:r w:rsidR="005C7285">
          <w:rPr>
            <w:webHidden/>
          </w:rPr>
          <w:t>42</w:t>
        </w:r>
        <w:r w:rsidR="00F760DC">
          <w:rPr>
            <w:webHidden/>
          </w:rPr>
          <w:fldChar w:fldCharType="end"/>
        </w:r>
      </w:hyperlink>
    </w:p>
    <w:p w14:paraId="75D1B619"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27" w:history="1">
        <w:r w:rsidR="00F760DC" w:rsidRPr="005F5D45">
          <w:rPr>
            <w:rStyle w:val="Hipercze"/>
            <w:rFonts w:eastAsia="Calibri"/>
            <w:b/>
            <w:lang w:val="pl-PL"/>
          </w:rPr>
          <w:t>3.3.2.1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Świadczeniodawcy (infrastruktura)</w:t>
        </w:r>
        <w:r w:rsidR="00F760DC">
          <w:rPr>
            <w:webHidden/>
          </w:rPr>
          <w:tab/>
        </w:r>
        <w:r w:rsidR="00F760DC">
          <w:rPr>
            <w:webHidden/>
          </w:rPr>
          <w:fldChar w:fldCharType="begin"/>
        </w:r>
        <w:r w:rsidR="00F760DC">
          <w:rPr>
            <w:webHidden/>
          </w:rPr>
          <w:instrText xml:space="preserve"> PAGEREF _Toc486537927 \h </w:instrText>
        </w:r>
        <w:r w:rsidR="00F760DC">
          <w:rPr>
            <w:webHidden/>
          </w:rPr>
        </w:r>
        <w:r w:rsidR="00F760DC">
          <w:rPr>
            <w:webHidden/>
          </w:rPr>
          <w:fldChar w:fldCharType="separate"/>
        </w:r>
        <w:r w:rsidR="005C7285">
          <w:rPr>
            <w:webHidden/>
          </w:rPr>
          <w:t>42</w:t>
        </w:r>
        <w:r w:rsidR="00F760DC">
          <w:rPr>
            <w:webHidden/>
          </w:rPr>
          <w:fldChar w:fldCharType="end"/>
        </w:r>
      </w:hyperlink>
    </w:p>
    <w:p w14:paraId="0943D7D1"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28" w:history="1">
        <w:r w:rsidR="00F760DC" w:rsidRPr="005F5D45">
          <w:rPr>
            <w:rStyle w:val="Hipercze"/>
            <w:rFonts w:eastAsia="Calibri"/>
            <w:b/>
            <w:lang w:val="pl-PL"/>
          </w:rPr>
          <w:t>3.3.2.2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Kadry medyczne</w:t>
        </w:r>
        <w:r w:rsidR="00F760DC">
          <w:rPr>
            <w:webHidden/>
          </w:rPr>
          <w:tab/>
        </w:r>
        <w:r w:rsidR="00F760DC">
          <w:rPr>
            <w:webHidden/>
          </w:rPr>
          <w:fldChar w:fldCharType="begin"/>
        </w:r>
        <w:r w:rsidR="00F760DC">
          <w:rPr>
            <w:webHidden/>
          </w:rPr>
          <w:instrText xml:space="preserve"> PAGEREF _Toc486537928 \h </w:instrText>
        </w:r>
        <w:r w:rsidR="00F760DC">
          <w:rPr>
            <w:webHidden/>
          </w:rPr>
        </w:r>
        <w:r w:rsidR="00F760DC">
          <w:rPr>
            <w:webHidden/>
          </w:rPr>
          <w:fldChar w:fldCharType="separate"/>
        </w:r>
        <w:r w:rsidR="005C7285">
          <w:rPr>
            <w:webHidden/>
          </w:rPr>
          <w:t>43</w:t>
        </w:r>
        <w:r w:rsidR="00F760DC">
          <w:rPr>
            <w:webHidden/>
          </w:rPr>
          <w:fldChar w:fldCharType="end"/>
        </w:r>
      </w:hyperlink>
    </w:p>
    <w:p w14:paraId="0ABB34C9" w14:textId="77777777" w:rsidR="00F760DC" w:rsidRDefault="00094076">
      <w:pPr>
        <w:pStyle w:val="Spistreci1"/>
        <w:rPr>
          <w:rFonts w:asciiTheme="minorHAnsi" w:eastAsiaTheme="minorEastAsia" w:hAnsiTheme="minorHAnsi" w:cstheme="minorBidi"/>
          <w:kern w:val="0"/>
          <w:sz w:val="22"/>
          <w:szCs w:val="22"/>
          <w:lang w:val="pl-PL" w:eastAsia="pl-PL"/>
        </w:rPr>
      </w:pPr>
      <w:hyperlink w:anchor="_Toc486537929" w:history="1">
        <w:r w:rsidR="00F760DC" w:rsidRPr="005F5D45">
          <w:rPr>
            <w:rStyle w:val="Hipercze"/>
            <w:rFonts w:eastAsia="Calibri"/>
            <w:b/>
            <w:lang w:val="pl-PL"/>
          </w:rPr>
          <w:t>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Propozycja rozwiązania – proponowany model koordynowanej opieki nad pacjentem w zaawansowanym stadium PChN</w:t>
        </w:r>
        <w:r w:rsidR="00F760DC">
          <w:rPr>
            <w:webHidden/>
          </w:rPr>
          <w:tab/>
        </w:r>
        <w:r w:rsidR="00F760DC">
          <w:rPr>
            <w:webHidden/>
          </w:rPr>
          <w:fldChar w:fldCharType="begin"/>
        </w:r>
        <w:r w:rsidR="00F760DC">
          <w:rPr>
            <w:webHidden/>
          </w:rPr>
          <w:instrText xml:space="preserve"> PAGEREF _Toc486537929 \h </w:instrText>
        </w:r>
        <w:r w:rsidR="00F760DC">
          <w:rPr>
            <w:webHidden/>
          </w:rPr>
        </w:r>
        <w:r w:rsidR="00F760DC">
          <w:rPr>
            <w:webHidden/>
          </w:rPr>
          <w:fldChar w:fldCharType="separate"/>
        </w:r>
        <w:r w:rsidR="005C7285">
          <w:rPr>
            <w:webHidden/>
          </w:rPr>
          <w:t>45</w:t>
        </w:r>
        <w:r w:rsidR="00F760DC">
          <w:rPr>
            <w:webHidden/>
          </w:rPr>
          <w:fldChar w:fldCharType="end"/>
        </w:r>
      </w:hyperlink>
    </w:p>
    <w:p w14:paraId="4AE4BDEA"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30" w:history="1">
        <w:r w:rsidR="00F760DC" w:rsidRPr="005F5D45">
          <w:rPr>
            <w:rStyle w:val="Hipercze"/>
            <w:rFonts w:eastAsia="Calibri"/>
            <w:b/>
            <w:lang w:val="pl-PL"/>
          </w:rPr>
          <w:t>4.1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Cel główny</w:t>
        </w:r>
        <w:r w:rsidR="00F760DC">
          <w:rPr>
            <w:webHidden/>
          </w:rPr>
          <w:tab/>
        </w:r>
        <w:r w:rsidR="00F760DC">
          <w:rPr>
            <w:webHidden/>
          </w:rPr>
          <w:fldChar w:fldCharType="begin"/>
        </w:r>
        <w:r w:rsidR="00F760DC">
          <w:rPr>
            <w:webHidden/>
          </w:rPr>
          <w:instrText xml:space="preserve"> PAGEREF _Toc486537930 \h </w:instrText>
        </w:r>
        <w:r w:rsidR="00F760DC">
          <w:rPr>
            <w:webHidden/>
          </w:rPr>
        </w:r>
        <w:r w:rsidR="00F760DC">
          <w:rPr>
            <w:webHidden/>
          </w:rPr>
          <w:fldChar w:fldCharType="separate"/>
        </w:r>
        <w:r w:rsidR="005C7285">
          <w:rPr>
            <w:webHidden/>
          </w:rPr>
          <w:t>45</w:t>
        </w:r>
        <w:r w:rsidR="00F760DC">
          <w:rPr>
            <w:webHidden/>
          </w:rPr>
          <w:fldChar w:fldCharType="end"/>
        </w:r>
      </w:hyperlink>
    </w:p>
    <w:p w14:paraId="44568B01"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31" w:history="1">
        <w:r w:rsidR="00F760DC" w:rsidRPr="005F5D45">
          <w:rPr>
            <w:rStyle w:val="Hipercze"/>
            <w:rFonts w:eastAsia="Calibri"/>
            <w:b/>
            <w:lang w:val="pl-PL"/>
          </w:rPr>
          <w:t>4.2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Ogólna koncepcja</w:t>
        </w:r>
        <w:r w:rsidR="00F760DC">
          <w:rPr>
            <w:webHidden/>
          </w:rPr>
          <w:tab/>
        </w:r>
        <w:r w:rsidR="00F760DC">
          <w:rPr>
            <w:webHidden/>
          </w:rPr>
          <w:fldChar w:fldCharType="begin"/>
        </w:r>
        <w:r w:rsidR="00F760DC">
          <w:rPr>
            <w:webHidden/>
          </w:rPr>
          <w:instrText xml:space="preserve"> PAGEREF _Toc486537931 \h </w:instrText>
        </w:r>
        <w:r w:rsidR="00F760DC">
          <w:rPr>
            <w:webHidden/>
          </w:rPr>
        </w:r>
        <w:r w:rsidR="00F760DC">
          <w:rPr>
            <w:webHidden/>
          </w:rPr>
          <w:fldChar w:fldCharType="separate"/>
        </w:r>
        <w:r w:rsidR="005C7285">
          <w:rPr>
            <w:webHidden/>
          </w:rPr>
          <w:t>45</w:t>
        </w:r>
        <w:r w:rsidR="00F760DC">
          <w:rPr>
            <w:webHidden/>
          </w:rPr>
          <w:fldChar w:fldCharType="end"/>
        </w:r>
      </w:hyperlink>
    </w:p>
    <w:p w14:paraId="471F8CC4"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32" w:history="1">
        <w:r w:rsidR="00F760DC" w:rsidRPr="005F5D45">
          <w:rPr>
            <w:rStyle w:val="Hipercze"/>
            <w:b/>
            <w:lang w:val="pl-PL"/>
          </w:rPr>
          <w:t>4.2.1</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Proponowany model opieki nad pacjentem w zaawansowanym stadium PChN – pacjent dializowany</w:t>
        </w:r>
        <w:r w:rsidR="00F760DC">
          <w:rPr>
            <w:webHidden/>
          </w:rPr>
          <w:tab/>
        </w:r>
        <w:r w:rsidR="00F760DC">
          <w:rPr>
            <w:webHidden/>
          </w:rPr>
          <w:fldChar w:fldCharType="begin"/>
        </w:r>
        <w:r w:rsidR="00F760DC">
          <w:rPr>
            <w:webHidden/>
          </w:rPr>
          <w:instrText xml:space="preserve"> PAGEREF _Toc486537932 \h </w:instrText>
        </w:r>
        <w:r w:rsidR="00F760DC">
          <w:rPr>
            <w:webHidden/>
          </w:rPr>
        </w:r>
        <w:r w:rsidR="00F760DC">
          <w:rPr>
            <w:webHidden/>
          </w:rPr>
          <w:fldChar w:fldCharType="separate"/>
        </w:r>
        <w:r w:rsidR="005C7285">
          <w:rPr>
            <w:webHidden/>
          </w:rPr>
          <w:t>45</w:t>
        </w:r>
        <w:r w:rsidR="00F760DC">
          <w:rPr>
            <w:webHidden/>
          </w:rPr>
          <w:fldChar w:fldCharType="end"/>
        </w:r>
      </w:hyperlink>
    </w:p>
    <w:p w14:paraId="20680828"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33" w:history="1">
        <w:r w:rsidR="00F760DC" w:rsidRPr="005F5D45">
          <w:rPr>
            <w:rStyle w:val="Hipercze"/>
            <w:b/>
            <w:lang w:val="pl-PL"/>
          </w:rPr>
          <w:t>4.2.1.1</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Porady nefrologiczne i dializoterapia</w:t>
        </w:r>
        <w:r w:rsidR="00F760DC">
          <w:rPr>
            <w:webHidden/>
          </w:rPr>
          <w:tab/>
        </w:r>
        <w:r w:rsidR="00F760DC">
          <w:rPr>
            <w:webHidden/>
          </w:rPr>
          <w:fldChar w:fldCharType="begin"/>
        </w:r>
        <w:r w:rsidR="00F760DC">
          <w:rPr>
            <w:webHidden/>
          </w:rPr>
          <w:instrText xml:space="preserve"> PAGEREF _Toc486537933 \h </w:instrText>
        </w:r>
        <w:r w:rsidR="00F760DC">
          <w:rPr>
            <w:webHidden/>
          </w:rPr>
        </w:r>
        <w:r w:rsidR="00F760DC">
          <w:rPr>
            <w:webHidden/>
          </w:rPr>
          <w:fldChar w:fldCharType="separate"/>
        </w:r>
        <w:r w:rsidR="005C7285">
          <w:rPr>
            <w:webHidden/>
          </w:rPr>
          <w:t>48</w:t>
        </w:r>
        <w:r w:rsidR="00F760DC">
          <w:rPr>
            <w:webHidden/>
          </w:rPr>
          <w:fldChar w:fldCharType="end"/>
        </w:r>
      </w:hyperlink>
    </w:p>
    <w:p w14:paraId="520DAEE9"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34" w:history="1">
        <w:r w:rsidR="00F760DC" w:rsidRPr="005F5D45">
          <w:rPr>
            <w:rStyle w:val="Hipercze"/>
            <w:b/>
            <w:lang w:val="pl-PL"/>
          </w:rPr>
          <w:t>4.2.1.2</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Opieka w zakresie dostępów naczyniowych</w:t>
        </w:r>
        <w:r w:rsidR="00F760DC">
          <w:rPr>
            <w:webHidden/>
          </w:rPr>
          <w:tab/>
        </w:r>
        <w:r w:rsidR="00F760DC">
          <w:rPr>
            <w:webHidden/>
          </w:rPr>
          <w:fldChar w:fldCharType="begin"/>
        </w:r>
        <w:r w:rsidR="00F760DC">
          <w:rPr>
            <w:webHidden/>
          </w:rPr>
          <w:instrText xml:space="preserve"> PAGEREF _Toc486537934 \h </w:instrText>
        </w:r>
        <w:r w:rsidR="00F760DC">
          <w:rPr>
            <w:webHidden/>
          </w:rPr>
        </w:r>
        <w:r w:rsidR="00F760DC">
          <w:rPr>
            <w:webHidden/>
          </w:rPr>
          <w:fldChar w:fldCharType="separate"/>
        </w:r>
        <w:r w:rsidR="005C7285">
          <w:rPr>
            <w:webHidden/>
          </w:rPr>
          <w:t>49</w:t>
        </w:r>
        <w:r w:rsidR="00F760DC">
          <w:rPr>
            <w:webHidden/>
          </w:rPr>
          <w:fldChar w:fldCharType="end"/>
        </w:r>
      </w:hyperlink>
    </w:p>
    <w:p w14:paraId="71FC0C50"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35" w:history="1">
        <w:r w:rsidR="00F760DC" w:rsidRPr="005F5D45">
          <w:rPr>
            <w:rStyle w:val="Hipercze"/>
            <w:b/>
            <w:lang w:val="pl-PL"/>
          </w:rPr>
          <w:t>4.2.1.3</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Przygotowanie do zgłoszenia do przeszczepienia</w:t>
        </w:r>
        <w:r w:rsidR="00F760DC">
          <w:rPr>
            <w:webHidden/>
          </w:rPr>
          <w:tab/>
        </w:r>
        <w:r w:rsidR="00F760DC">
          <w:rPr>
            <w:webHidden/>
          </w:rPr>
          <w:fldChar w:fldCharType="begin"/>
        </w:r>
        <w:r w:rsidR="00F760DC">
          <w:rPr>
            <w:webHidden/>
          </w:rPr>
          <w:instrText xml:space="preserve"> PAGEREF _Toc486537935 \h </w:instrText>
        </w:r>
        <w:r w:rsidR="00F760DC">
          <w:rPr>
            <w:webHidden/>
          </w:rPr>
        </w:r>
        <w:r w:rsidR="00F760DC">
          <w:rPr>
            <w:webHidden/>
          </w:rPr>
          <w:fldChar w:fldCharType="separate"/>
        </w:r>
        <w:r w:rsidR="005C7285">
          <w:rPr>
            <w:webHidden/>
          </w:rPr>
          <w:t>49</w:t>
        </w:r>
        <w:r w:rsidR="00F760DC">
          <w:rPr>
            <w:webHidden/>
          </w:rPr>
          <w:fldChar w:fldCharType="end"/>
        </w:r>
      </w:hyperlink>
    </w:p>
    <w:p w14:paraId="6D7159F0"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36" w:history="1">
        <w:r w:rsidR="00F760DC" w:rsidRPr="005F5D45">
          <w:rPr>
            <w:rStyle w:val="Hipercze"/>
            <w:b/>
            <w:lang w:val="pl-PL"/>
          </w:rPr>
          <w:t>4.2.1.4</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Regulacja gospodarki wapniowo-fosforanowej</w:t>
        </w:r>
        <w:r w:rsidR="00F760DC">
          <w:rPr>
            <w:webHidden/>
          </w:rPr>
          <w:tab/>
        </w:r>
        <w:r w:rsidR="00F760DC">
          <w:rPr>
            <w:webHidden/>
          </w:rPr>
          <w:fldChar w:fldCharType="begin"/>
        </w:r>
        <w:r w:rsidR="00F760DC">
          <w:rPr>
            <w:webHidden/>
          </w:rPr>
          <w:instrText xml:space="preserve"> PAGEREF _Toc486537936 \h </w:instrText>
        </w:r>
        <w:r w:rsidR="00F760DC">
          <w:rPr>
            <w:webHidden/>
          </w:rPr>
        </w:r>
        <w:r w:rsidR="00F760DC">
          <w:rPr>
            <w:webHidden/>
          </w:rPr>
          <w:fldChar w:fldCharType="separate"/>
        </w:r>
        <w:r w:rsidR="005C7285">
          <w:rPr>
            <w:webHidden/>
          </w:rPr>
          <w:t>49</w:t>
        </w:r>
        <w:r w:rsidR="00F760DC">
          <w:rPr>
            <w:webHidden/>
          </w:rPr>
          <w:fldChar w:fldCharType="end"/>
        </w:r>
      </w:hyperlink>
    </w:p>
    <w:p w14:paraId="30943636"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37" w:history="1">
        <w:r w:rsidR="00F760DC" w:rsidRPr="005F5D45">
          <w:rPr>
            <w:rStyle w:val="Hipercze"/>
            <w:b/>
            <w:lang w:val="pl-PL"/>
          </w:rPr>
          <w:t>4.2.1.5</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Uprawnienia lekarza POZ</w:t>
        </w:r>
        <w:r w:rsidR="00F760DC">
          <w:rPr>
            <w:webHidden/>
          </w:rPr>
          <w:tab/>
        </w:r>
        <w:r w:rsidR="00F760DC">
          <w:rPr>
            <w:webHidden/>
          </w:rPr>
          <w:fldChar w:fldCharType="begin"/>
        </w:r>
        <w:r w:rsidR="00F760DC">
          <w:rPr>
            <w:webHidden/>
          </w:rPr>
          <w:instrText xml:space="preserve"> PAGEREF _Toc486537937 \h </w:instrText>
        </w:r>
        <w:r w:rsidR="00F760DC">
          <w:rPr>
            <w:webHidden/>
          </w:rPr>
        </w:r>
        <w:r w:rsidR="00F760DC">
          <w:rPr>
            <w:webHidden/>
          </w:rPr>
          <w:fldChar w:fldCharType="separate"/>
        </w:r>
        <w:r w:rsidR="005C7285">
          <w:rPr>
            <w:webHidden/>
          </w:rPr>
          <w:t>50</w:t>
        </w:r>
        <w:r w:rsidR="00F760DC">
          <w:rPr>
            <w:webHidden/>
          </w:rPr>
          <w:fldChar w:fldCharType="end"/>
        </w:r>
      </w:hyperlink>
    </w:p>
    <w:p w14:paraId="40F0905B" w14:textId="77777777" w:rsidR="00F760DC" w:rsidRDefault="00094076">
      <w:pPr>
        <w:pStyle w:val="Spistreci4"/>
        <w:rPr>
          <w:rFonts w:asciiTheme="minorHAnsi" w:eastAsiaTheme="minorEastAsia" w:hAnsiTheme="minorHAnsi" w:cstheme="minorBidi"/>
          <w:kern w:val="0"/>
          <w:sz w:val="22"/>
          <w:szCs w:val="22"/>
          <w:lang w:val="pl-PL" w:eastAsia="pl-PL"/>
        </w:rPr>
      </w:pPr>
      <w:hyperlink w:anchor="_Toc486537938" w:history="1">
        <w:r w:rsidR="00F760DC" w:rsidRPr="005F5D45">
          <w:rPr>
            <w:rStyle w:val="Hipercze"/>
            <w:b/>
            <w:lang w:val="pl-PL"/>
          </w:rPr>
          <w:t>4.2.1.6</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Koordynacja opieki nad chorym oraz świadczenia uzupełniające</w:t>
        </w:r>
        <w:r w:rsidR="00F760DC">
          <w:rPr>
            <w:webHidden/>
          </w:rPr>
          <w:tab/>
        </w:r>
        <w:r w:rsidR="00F760DC">
          <w:rPr>
            <w:webHidden/>
          </w:rPr>
          <w:fldChar w:fldCharType="begin"/>
        </w:r>
        <w:r w:rsidR="00F760DC">
          <w:rPr>
            <w:webHidden/>
          </w:rPr>
          <w:instrText xml:space="preserve"> PAGEREF _Toc486537938 \h </w:instrText>
        </w:r>
        <w:r w:rsidR="00F760DC">
          <w:rPr>
            <w:webHidden/>
          </w:rPr>
        </w:r>
        <w:r w:rsidR="00F760DC">
          <w:rPr>
            <w:webHidden/>
          </w:rPr>
          <w:fldChar w:fldCharType="separate"/>
        </w:r>
        <w:r w:rsidR="005C7285">
          <w:rPr>
            <w:webHidden/>
          </w:rPr>
          <w:t>50</w:t>
        </w:r>
        <w:r w:rsidR="00F760DC">
          <w:rPr>
            <w:webHidden/>
          </w:rPr>
          <w:fldChar w:fldCharType="end"/>
        </w:r>
      </w:hyperlink>
    </w:p>
    <w:p w14:paraId="67DECB9F"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39" w:history="1">
        <w:r w:rsidR="00F760DC" w:rsidRPr="005F5D45">
          <w:rPr>
            <w:rStyle w:val="Hipercze"/>
            <w:b/>
            <w:lang w:val="pl-PL"/>
          </w:rPr>
          <w:t>4.2.2</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Proponowany model opieki nad pacjentem w zaawansowanym stadium PChN – pacjent przed dializą</w:t>
        </w:r>
        <w:r w:rsidR="00F760DC">
          <w:rPr>
            <w:webHidden/>
          </w:rPr>
          <w:tab/>
        </w:r>
        <w:r w:rsidR="00F760DC">
          <w:rPr>
            <w:webHidden/>
          </w:rPr>
          <w:fldChar w:fldCharType="begin"/>
        </w:r>
        <w:r w:rsidR="00F760DC">
          <w:rPr>
            <w:webHidden/>
          </w:rPr>
          <w:instrText xml:space="preserve"> PAGEREF _Toc486537939 \h </w:instrText>
        </w:r>
        <w:r w:rsidR="00F760DC">
          <w:rPr>
            <w:webHidden/>
          </w:rPr>
        </w:r>
        <w:r w:rsidR="00F760DC">
          <w:rPr>
            <w:webHidden/>
          </w:rPr>
          <w:fldChar w:fldCharType="separate"/>
        </w:r>
        <w:r w:rsidR="005C7285">
          <w:rPr>
            <w:webHidden/>
          </w:rPr>
          <w:t>50</w:t>
        </w:r>
        <w:r w:rsidR="00F760DC">
          <w:rPr>
            <w:webHidden/>
          </w:rPr>
          <w:fldChar w:fldCharType="end"/>
        </w:r>
      </w:hyperlink>
    </w:p>
    <w:p w14:paraId="6936876C"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40" w:history="1">
        <w:r w:rsidR="00F760DC" w:rsidRPr="005F5D45">
          <w:rPr>
            <w:rStyle w:val="Hipercze"/>
            <w:b/>
            <w:lang w:val="pl-PL"/>
          </w:rPr>
          <w:t>4.2.3</w:t>
        </w:r>
        <w:r w:rsidR="00F760DC">
          <w:rPr>
            <w:rFonts w:asciiTheme="minorHAnsi" w:eastAsiaTheme="minorEastAsia" w:hAnsiTheme="minorHAnsi" w:cstheme="minorBidi"/>
            <w:kern w:val="0"/>
            <w:sz w:val="22"/>
            <w:szCs w:val="22"/>
            <w:lang w:val="pl-PL" w:eastAsia="pl-PL"/>
          </w:rPr>
          <w:tab/>
        </w:r>
        <w:r w:rsidR="00F760DC" w:rsidRPr="005F5D45">
          <w:rPr>
            <w:rStyle w:val="Hipercze"/>
            <w:lang w:val="pl-PL"/>
          </w:rPr>
          <w:t>Definicja i monitorowanie wyników leczenia – KPIs jednostki koordynującej</w:t>
        </w:r>
        <w:r w:rsidR="00F760DC">
          <w:rPr>
            <w:webHidden/>
          </w:rPr>
          <w:tab/>
        </w:r>
        <w:r w:rsidR="00F760DC">
          <w:rPr>
            <w:webHidden/>
          </w:rPr>
          <w:fldChar w:fldCharType="begin"/>
        </w:r>
        <w:r w:rsidR="00F760DC">
          <w:rPr>
            <w:webHidden/>
          </w:rPr>
          <w:instrText xml:space="preserve"> PAGEREF _Toc486537940 \h </w:instrText>
        </w:r>
        <w:r w:rsidR="00F760DC">
          <w:rPr>
            <w:webHidden/>
          </w:rPr>
        </w:r>
        <w:r w:rsidR="00F760DC">
          <w:rPr>
            <w:webHidden/>
          </w:rPr>
          <w:fldChar w:fldCharType="separate"/>
        </w:r>
        <w:r w:rsidR="005C7285">
          <w:rPr>
            <w:webHidden/>
          </w:rPr>
          <w:t>53</w:t>
        </w:r>
        <w:r w:rsidR="00F760DC">
          <w:rPr>
            <w:webHidden/>
          </w:rPr>
          <w:fldChar w:fldCharType="end"/>
        </w:r>
      </w:hyperlink>
    </w:p>
    <w:p w14:paraId="6BF63351"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41" w:history="1">
        <w:r w:rsidR="00F760DC" w:rsidRPr="005F5D45">
          <w:rPr>
            <w:rStyle w:val="Hipercze"/>
            <w:b/>
            <w:lang w:val="pl-PL"/>
          </w:rPr>
          <w:t>4.2.4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Proces koordynacji w ujęciu decyzyjnym i finansowym</w:t>
        </w:r>
        <w:r w:rsidR="00F760DC">
          <w:rPr>
            <w:webHidden/>
          </w:rPr>
          <w:tab/>
        </w:r>
        <w:r w:rsidR="00F760DC">
          <w:rPr>
            <w:webHidden/>
          </w:rPr>
          <w:fldChar w:fldCharType="begin"/>
        </w:r>
        <w:r w:rsidR="00F760DC">
          <w:rPr>
            <w:webHidden/>
          </w:rPr>
          <w:instrText xml:space="preserve"> PAGEREF _Toc486537941 \h </w:instrText>
        </w:r>
        <w:r w:rsidR="00F760DC">
          <w:rPr>
            <w:webHidden/>
          </w:rPr>
        </w:r>
        <w:r w:rsidR="00F760DC">
          <w:rPr>
            <w:webHidden/>
          </w:rPr>
          <w:fldChar w:fldCharType="separate"/>
        </w:r>
        <w:r w:rsidR="005C7285">
          <w:rPr>
            <w:webHidden/>
          </w:rPr>
          <w:t>58</w:t>
        </w:r>
        <w:r w:rsidR="00F760DC">
          <w:rPr>
            <w:webHidden/>
          </w:rPr>
          <w:fldChar w:fldCharType="end"/>
        </w:r>
      </w:hyperlink>
    </w:p>
    <w:p w14:paraId="5F1B98A5"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42" w:history="1">
        <w:r w:rsidR="00F760DC" w:rsidRPr="005F5D45">
          <w:rPr>
            <w:rStyle w:val="Hipercze"/>
            <w:rFonts w:eastAsia="Calibri"/>
            <w:b/>
            <w:lang w:val="pl-PL"/>
          </w:rPr>
          <w:t>4.3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Elementy wspierające proponowany model</w:t>
        </w:r>
        <w:r w:rsidR="00F760DC">
          <w:rPr>
            <w:webHidden/>
          </w:rPr>
          <w:tab/>
        </w:r>
        <w:r w:rsidR="00F760DC">
          <w:rPr>
            <w:webHidden/>
          </w:rPr>
          <w:fldChar w:fldCharType="begin"/>
        </w:r>
        <w:r w:rsidR="00F760DC">
          <w:rPr>
            <w:webHidden/>
          </w:rPr>
          <w:instrText xml:space="preserve"> PAGEREF _Toc486537942 \h </w:instrText>
        </w:r>
        <w:r w:rsidR="00F760DC">
          <w:rPr>
            <w:webHidden/>
          </w:rPr>
        </w:r>
        <w:r w:rsidR="00F760DC">
          <w:rPr>
            <w:webHidden/>
          </w:rPr>
          <w:fldChar w:fldCharType="separate"/>
        </w:r>
        <w:r w:rsidR="005C7285">
          <w:rPr>
            <w:webHidden/>
          </w:rPr>
          <w:t>61</w:t>
        </w:r>
        <w:r w:rsidR="00F760DC">
          <w:rPr>
            <w:webHidden/>
          </w:rPr>
          <w:fldChar w:fldCharType="end"/>
        </w:r>
      </w:hyperlink>
    </w:p>
    <w:p w14:paraId="40BBD346"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43" w:history="1">
        <w:r w:rsidR="00F760DC" w:rsidRPr="005F5D45">
          <w:rPr>
            <w:rStyle w:val="Hipercze"/>
            <w:rFonts w:eastAsia="Calibri"/>
            <w:b/>
            <w:lang w:val="pl-PL"/>
          </w:rPr>
          <w:t>4.3.1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Komunikacja i rejestr chorych</w:t>
        </w:r>
        <w:r w:rsidR="00F760DC">
          <w:rPr>
            <w:webHidden/>
          </w:rPr>
          <w:tab/>
        </w:r>
        <w:r w:rsidR="00F760DC">
          <w:rPr>
            <w:webHidden/>
          </w:rPr>
          <w:fldChar w:fldCharType="begin"/>
        </w:r>
        <w:r w:rsidR="00F760DC">
          <w:rPr>
            <w:webHidden/>
          </w:rPr>
          <w:instrText xml:space="preserve"> PAGEREF _Toc486537943 \h </w:instrText>
        </w:r>
        <w:r w:rsidR="00F760DC">
          <w:rPr>
            <w:webHidden/>
          </w:rPr>
        </w:r>
        <w:r w:rsidR="00F760DC">
          <w:rPr>
            <w:webHidden/>
          </w:rPr>
          <w:fldChar w:fldCharType="separate"/>
        </w:r>
        <w:r w:rsidR="005C7285">
          <w:rPr>
            <w:webHidden/>
          </w:rPr>
          <w:t>61</w:t>
        </w:r>
        <w:r w:rsidR="00F760DC">
          <w:rPr>
            <w:webHidden/>
          </w:rPr>
          <w:fldChar w:fldCharType="end"/>
        </w:r>
      </w:hyperlink>
    </w:p>
    <w:p w14:paraId="00A4FC66"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44" w:history="1">
        <w:r w:rsidR="00F760DC" w:rsidRPr="005F5D45">
          <w:rPr>
            <w:rStyle w:val="Hipercze"/>
            <w:rFonts w:eastAsia="Calibri"/>
            <w:b/>
            <w:lang w:val="pl-PL"/>
          </w:rPr>
          <w:t>4.3.2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Wspieranie standardów leczenia - certyfikacja jednostek</w:t>
        </w:r>
        <w:r w:rsidR="00F760DC">
          <w:rPr>
            <w:webHidden/>
          </w:rPr>
          <w:tab/>
        </w:r>
        <w:r w:rsidR="00F760DC">
          <w:rPr>
            <w:webHidden/>
          </w:rPr>
          <w:fldChar w:fldCharType="begin"/>
        </w:r>
        <w:r w:rsidR="00F760DC">
          <w:rPr>
            <w:webHidden/>
          </w:rPr>
          <w:instrText xml:space="preserve"> PAGEREF _Toc486537944 \h </w:instrText>
        </w:r>
        <w:r w:rsidR="00F760DC">
          <w:rPr>
            <w:webHidden/>
          </w:rPr>
        </w:r>
        <w:r w:rsidR="00F760DC">
          <w:rPr>
            <w:webHidden/>
          </w:rPr>
          <w:fldChar w:fldCharType="separate"/>
        </w:r>
        <w:r w:rsidR="005C7285">
          <w:rPr>
            <w:webHidden/>
          </w:rPr>
          <w:t>62</w:t>
        </w:r>
        <w:r w:rsidR="00F760DC">
          <w:rPr>
            <w:webHidden/>
          </w:rPr>
          <w:fldChar w:fldCharType="end"/>
        </w:r>
      </w:hyperlink>
    </w:p>
    <w:p w14:paraId="547391F8"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45" w:history="1">
        <w:r w:rsidR="00F760DC" w:rsidRPr="005F5D45">
          <w:rPr>
            <w:rStyle w:val="Hipercze"/>
            <w:rFonts w:eastAsia="Calibri"/>
            <w:b/>
            <w:lang w:val="pl-PL"/>
          </w:rPr>
          <w:t>4.4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Opis procedury i modelowej jednostki koordynującej</w:t>
        </w:r>
        <w:r w:rsidR="00F760DC">
          <w:rPr>
            <w:webHidden/>
          </w:rPr>
          <w:tab/>
        </w:r>
        <w:r w:rsidR="00F760DC">
          <w:rPr>
            <w:webHidden/>
          </w:rPr>
          <w:fldChar w:fldCharType="begin"/>
        </w:r>
        <w:r w:rsidR="00F760DC">
          <w:rPr>
            <w:webHidden/>
          </w:rPr>
          <w:instrText xml:space="preserve"> PAGEREF _Toc486537945 \h </w:instrText>
        </w:r>
        <w:r w:rsidR="00F760DC">
          <w:rPr>
            <w:webHidden/>
          </w:rPr>
        </w:r>
        <w:r w:rsidR="00F760DC">
          <w:rPr>
            <w:webHidden/>
          </w:rPr>
          <w:fldChar w:fldCharType="separate"/>
        </w:r>
        <w:r w:rsidR="005C7285">
          <w:rPr>
            <w:webHidden/>
          </w:rPr>
          <w:t>62</w:t>
        </w:r>
        <w:r w:rsidR="00F760DC">
          <w:rPr>
            <w:webHidden/>
          </w:rPr>
          <w:fldChar w:fldCharType="end"/>
        </w:r>
      </w:hyperlink>
    </w:p>
    <w:p w14:paraId="70B3CAC8"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46" w:history="1">
        <w:r w:rsidR="00F760DC" w:rsidRPr="005F5D45">
          <w:rPr>
            <w:rStyle w:val="Hipercze"/>
            <w:rFonts w:eastAsia="Calibri"/>
            <w:b/>
            <w:lang w:val="pl-PL"/>
          </w:rPr>
          <w:t>4.5</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Szacunkowe koszty bezpośrednie opieki nad pacjentami dializowanymi – aktualnie vs. opieka koordynowana</w:t>
        </w:r>
        <w:r w:rsidR="00F760DC">
          <w:rPr>
            <w:webHidden/>
          </w:rPr>
          <w:tab/>
        </w:r>
        <w:r w:rsidR="00F760DC">
          <w:rPr>
            <w:webHidden/>
          </w:rPr>
          <w:fldChar w:fldCharType="begin"/>
        </w:r>
        <w:r w:rsidR="00F760DC">
          <w:rPr>
            <w:webHidden/>
          </w:rPr>
          <w:instrText xml:space="preserve"> PAGEREF _Toc486537946 \h </w:instrText>
        </w:r>
        <w:r w:rsidR="00F760DC">
          <w:rPr>
            <w:webHidden/>
          </w:rPr>
        </w:r>
        <w:r w:rsidR="00F760DC">
          <w:rPr>
            <w:webHidden/>
          </w:rPr>
          <w:fldChar w:fldCharType="separate"/>
        </w:r>
        <w:r w:rsidR="005C7285">
          <w:rPr>
            <w:webHidden/>
          </w:rPr>
          <w:t>62</w:t>
        </w:r>
        <w:r w:rsidR="00F760DC">
          <w:rPr>
            <w:webHidden/>
          </w:rPr>
          <w:fldChar w:fldCharType="end"/>
        </w:r>
      </w:hyperlink>
    </w:p>
    <w:p w14:paraId="3C775158"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47" w:history="1">
        <w:r w:rsidR="00F760DC" w:rsidRPr="005F5D45">
          <w:rPr>
            <w:rStyle w:val="Hipercze"/>
            <w:rFonts w:eastAsia="Calibri"/>
            <w:b/>
            <w:lang w:val="pl-PL"/>
          </w:rPr>
          <w:t>4.6</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Analiza wybranych scenariuszy wdrożenia modelu - przedstawienie korzyści i szacunkowy wpływ na budżet płatnika</w:t>
        </w:r>
        <w:r w:rsidR="00F760DC">
          <w:rPr>
            <w:webHidden/>
          </w:rPr>
          <w:tab/>
        </w:r>
        <w:r w:rsidR="00F760DC">
          <w:rPr>
            <w:webHidden/>
          </w:rPr>
          <w:fldChar w:fldCharType="begin"/>
        </w:r>
        <w:r w:rsidR="00F760DC">
          <w:rPr>
            <w:webHidden/>
          </w:rPr>
          <w:instrText xml:space="preserve"> PAGEREF _Toc486537947 \h </w:instrText>
        </w:r>
        <w:r w:rsidR="00F760DC">
          <w:rPr>
            <w:webHidden/>
          </w:rPr>
        </w:r>
        <w:r w:rsidR="00F760DC">
          <w:rPr>
            <w:webHidden/>
          </w:rPr>
          <w:fldChar w:fldCharType="separate"/>
        </w:r>
        <w:r w:rsidR="005C7285">
          <w:rPr>
            <w:webHidden/>
          </w:rPr>
          <w:t>67</w:t>
        </w:r>
        <w:r w:rsidR="00F760DC">
          <w:rPr>
            <w:webHidden/>
          </w:rPr>
          <w:fldChar w:fldCharType="end"/>
        </w:r>
      </w:hyperlink>
    </w:p>
    <w:p w14:paraId="48786C05"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48" w:history="1">
        <w:r w:rsidR="00F760DC" w:rsidRPr="005F5D45">
          <w:rPr>
            <w:rStyle w:val="Hipercze"/>
            <w:rFonts w:eastAsia="Calibri"/>
            <w:b/>
            <w:lang w:val="pl-PL"/>
          </w:rPr>
          <w:t>4.6.1</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Moduł A / Moduł AA - Opieka koordynowana pacjentów dializowanych</w:t>
        </w:r>
        <w:r w:rsidR="00F760DC">
          <w:rPr>
            <w:webHidden/>
          </w:rPr>
          <w:tab/>
        </w:r>
        <w:r w:rsidR="00F760DC">
          <w:rPr>
            <w:webHidden/>
          </w:rPr>
          <w:fldChar w:fldCharType="begin"/>
        </w:r>
        <w:r w:rsidR="00F760DC">
          <w:rPr>
            <w:webHidden/>
          </w:rPr>
          <w:instrText xml:space="preserve"> PAGEREF _Toc486537948 \h </w:instrText>
        </w:r>
        <w:r w:rsidR="00F760DC">
          <w:rPr>
            <w:webHidden/>
          </w:rPr>
        </w:r>
        <w:r w:rsidR="00F760DC">
          <w:rPr>
            <w:webHidden/>
          </w:rPr>
          <w:fldChar w:fldCharType="separate"/>
        </w:r>
        <w:r w:rsidR="005C7285">
          <w:rPr>
            <w:webHidden/>
          </w:rPr>
          <w:t>67</w:t>
        </w:r>
        <w:r w:rsidR="00F760DC">
          <w:rPr>
            <w:webHidden/>
          </w:rPr>
          <w:fldChar w:fldCharType="end"/>
        </w:r>
      </w:hyperlink>
    </w:p>
    <w:p w14:paraId="4ED4C77E"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49" w:history="1">
        <w:r w:rsidR="00F760DC" w:rsidRPr="005F5D45">
          <w:rPr>
            <w:rStyle w:val="Hipercze"/>
            <w:rFonts w:eastAsia="Calibri"/>
            <w:b/>
            <w:lang w:val="pl-PL"/>
          </w:rPr>
          <w:t>4.6.2</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Moduł B - Opieka koordynowana+ pacjentów dializowanych</w:t>
        </w:r>
        <w:r w:rsidR="00F760DC">
          <w:rPr>
            <w:webHidden/>
          </w:rPr>
          <w:tab/>
        </w:r>
        <w:r w:rsidR="00F760DC">
          <w:rPr>
            <w:webHidden/>
          </w:rPr>
          <w:fldChar w:fldCharType="begin"/>
        </w:r>
        <w:r w:rsidR="00F760DC">
          <w:rPr>
            <w:webHidden/>
          </w:rPr>
          <w:instrText xml:space="preserve"> PAGEREF _Toc486537949 \h </w:instrText>
        </w:r>
        <w:r w:rsidR="00F760DC">
          <w:rPr>
            <w:webHidden/>
          </w:rPr>
        </w:r>
        <w:r w:rsidR="00F760DC">
          <w:rPr>
            <w:webHidden/>
          </w:rPr>
          <w:fldChar w:fldCharType="separate"/>
        </w:r>
        <w:r w:rsidR="005C7285">
          <w:rPr>
            <w:webHidden/>
          </w:rPr>
          <w:t>67</w:t>
        </w:r>
        <w:r w:rsidR="00F760DC">
          <w:rPr>
            <w:webHidden/>
          </w:rPr>
          <w:fldChar w:fldCharType="end"/>
        </w:r>
      </w:hyperlink>
    </w:p>
    <w:p w14:paraId="53F61825"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50" w:history="1">
        <w:r w:rsidR="00F760DC" w:rsidRPr="005F5D45">
          <w:rPr>
            <w:rStyle w:val="Hipercze"/>
            <w:rFonts w:eastAsia="Calibri"/>
            <w:b/>
            <w:lang w:val="pl-PL"/>
          </w:rPr>
          <w:t>4.6.3</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Moduł C Opieka koordynowana pacjentów przed dializą</w:t>
        </w:r>
        <w:r w:rsidR="00F760DC">
          <w:rPr>
            <w:webHidden/>
          </w:rPr>
          <w:tab/>
        </w:r>
        <w:r w:rsidR="00F760DC">
          <w:rPr>
            <w:webHidden/>
          </w:rPr>
          <w:fldChar w:fldCharType="begin"/>
        </w:r>
        <w:r w:rsidR="00F760DC">
          <w:rPr>
            <w:webHidden/>
          </w:rPr>
          <w:instrText xml:space="preserve"> PAGEREF _Toc486537950 \h </w:instrText>
        </w:r>
        <w:r w:rsidR="00F760DC">
          <w:rPr>
            <w:webHidden/>
          </w:rPr>
        </w:r>
        <w:r w:rsidR="00F760DC">
          <w:rPr>
            <w:webHidden/>
          </w:rPr>
          <w:fldChar w:fldCharType="separate"/>
        </w:r>
        <w:r w:rsidR="005C7285">
          <w:rPr>
            <w:webHidden/>
          </w:rPr>
          <w:t>68</w:t>
        </w:r>
        <w:r w:rsidR="00F760DC">
          <w:rPr>
            <w:webHidden/>
          </w:rPr>
          <w:fldChar w:fldCharType="end"/>
        </w:r>
      </w:hyperlink>
    </w:p>
    <w:p w14:paraId="23092872" w14:textId="77777777" w:rsidR="00F760DC" w:rsidRDefault="00094076">
      <w:pPr>
        <w:pStyle w:val="Spistreci3"/>
        <w:rPr>
          <w:rFonts w:asciiTheme="minorHAnsi" w:eastAsiaTheme="minorEastAsia" w:hAnsiTheme="minorHAnsi" w:cstheme="minorBidi"/>
          <w:kern w:val="0"/>
          <w:sz w:val="22"/>
          <w:szCs w:val="22"/>
          <w:lang w:val="pl-PL" w:eastAsia="pl-PL"/>
        </w:rPr>
      </w:pPr>
      <w:hyperlink w:anchor="_Toc486537951" w:history="1">
        <w:r w:rsidR="00F760DC" w:rsidRPr="005F5D45">
          <w:rPr>
            <w:rStyle w:val="Hipercze"/>
            <w:rFonts w:eastAsia="Calibri"/>
            <w:b/>
            <w:lang w:val="pl-PL"/>
          </w:rPr>
          <w:t>4.6.4</w:t>
        </w:r>
        <w:r w:rsidR="00F760DC">
          <w:rPr>
            <w:rFonts w:asciiTheme="minorHAnsi" w:eastAsiaTheme="minorEastAsia" w:hAnsiTheme="minorHAnsi" w:cstheme="minorBidi"/>
            <w:kern w:val="0"/>
            <w:sz w:val="22"/>
            <w:szCs w:val="22"/>
            <w:lang w:val="pl-PL" w:eastAsia="pl-PL"/>
          </w:rPr>
          <w:tab/>
        </w:r>
        <w:r w:rsidR="00F760DC" w:rsidRPr="005F5D45">
          <w:rPr>
            <w:rStyle w:val="Hipercze"/>
            <w:rFonts w:eastAsia="Calibri"/>
            <w:lang w:val="pl-PL"/>
          </w:rPr>
          <w:t>Podsumowanie</w:t>
        </w:r>
        <w:r w:rsidR="00F760DC">
          <w:rPr>
            <w:webHidden/>
          </w:rPr>
          <w:tab/>
        </w:r>
        <w:r w:rsidR="00F760DC">
          <w:rPr>
            <w:webHidden/>
          </w:rPr>
          <w:fldChar w:fldCharType="begin"/>
        </w:r>
        <w:r w:rsidR="00F760DC">
          <w:rPr>
            <w:webHidden/>
          </w:rPr>
          <w:instrText xml:space="preserve"> PAGEREF _Toc486537951 \h </w:instrText>
        </w:r>
        <w:r w:rsidR="00F760DC">
          <w:rPr>
            <w:webHidden/>
          </w:rPr>
        </w:r>
        <w:r w:rsidR="00F760DC">
          <w:rPr>
            <w:webHidden/>
          </w:rPr>
          <w:fldChar w:fldCharType="separate"/>
        </w:r>
        <w:r w:rsidR="005C7285">
          <w:rPr>
            <w:webHidden/>
          </w:rPr>
          <w:t>68</w:t>
        </w:r>
        <w:r w:rsidR="00F760DC">
          <w:rPr>
            <w:webHidden/>
          </w:rPr>
          <w:fldChar w:fldCharType="end"/>
        </w:r>
      </w:hyperlink>
    </w:p>
    <w:p w14:paraId="3161718F"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52" w:history="1">
        <w:r w:rsidR="00F760DC" w:rsidRPr="005F5D45">
          <w:rPr>
            <w:rStyle w:val="Hipercze"/>
            <w:rFonts w:eastAsia="Calibri"/>
            <w:lang w:val="pl-PL"/>
          </w:rPr>
          <w:t xml:space="preserve">Załącznik nr 1 Opis świadczenia gwarantowanego wg modelu AOTMiT - </w:t>
        </w:r>
        <w:r w:rsidR="00F760DC" w:rsidRPr="005F5D45">
          <w:rPr>
            <w:rStyle w:val="Hipercze"/>
            <w:lang w:val="pl-PL"/>
          </w:rPr>
          <w:t>opieka koordynowana pacjentów  z przewleką chorobą nerek w stadium zaawansowanym</w:t>
        </w:r>
        <w:r w:rsidR="00F760DC">
          <w:rPr>
            <w:webHidden/>
          </w:rPr>
          <w:tab/>
        </w:r>
        <w:r w:rsidR="00F760DC">
          <w:rPr>
            <w:webHidden/>
          </w:rPr>
          <w:fldChar w:fldCharType="begin"/>
        </w:r>
        <w:r w:rsidR="00F760DC">
          <w:rPr>
            <w:webHidden/>
          </w:rPr>
          <w:instrText xml:space="preserve"> PAGEREF _Toc486537952 \h </w:instrText>
        </w:r>
        <w:r w:rsidR="00F760DC">
          <w:rPr>
            <w:webHidden/>
          </w:rPr>
        </w:r>
        <w:r w:rsidR="00F760DC">
          <w:rPr>
            <w:webHidden/>
          </w:rPr>
          <w:fldChar w:fldCharType="separate"/>
        </w:r>
        <w:r w:rsidR="005C7285">
          <w:rPr>
            <w:webHidden/>
          </w:rPr>
          <w:t>73</w:t>
        </w:r>
        <w:r w:rsidR="00F760DC">
          <w:rPr>
            <w:webHidden/>
          </w:rPr>
          <w:fldChar w:fldCharType="end"/>
        </w:r>
      </w:hyperlink>
    </w:p>
    <w:p w14:paraId="024E541E"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53" w:history="1">
        <w:r w:rsidR="00F760DC" w:rsidRPr="005F5D45">
          <w:rPr>
            <w:rStyle w:val="Hipercze"/>
            <w:rFonts w:eastAsia="Calibri"/>
            <w:lang w:val="pl-PL"/>
          </w:rPr>
          <w:t>Spis rysunków</w:t>
        </w:r>
        <w:r w:rsidR="00F760DC">
          <w:rPr>
            <w:webHidden/>
          </w:rPr>
          <w:tab/>
        </w:r>
        <w:r w:rsidR="00F760DC">
          <w:rPr>
            <w:webHidden/>
          </w:rPr>
          <w:fldChar w:fldCharType="begin"/>
        </w:r>
        <w:r w:rsidR="00F760DC">
          <w:rPr>
            <w:webHidden/>
          </w:rPr>
          <w:instrText xml:space="preserve"> PAGEREF _Toc486537953 \h </w:instrText>
        </w:r>
        <w:r w:rsidR="00F760DC">
          <w:rPr>
            <w:webHidden/>
          </w:rPr>
        </w:r>
        <w:r w:rsidR="00F760DC">
          <w:rPr>
            <w:webHidden/>
          </w:rPr>
          <w:fldChar w:fldCharType="separate"/>
        </w:r>
        <w:r w:rsidR="005C7285">
          <w:rPr>
            <w:webHidden/>
          </w:rPr>
          <w:t>87</w:t>
        </w:r>
        <w:r w:rsidR="00F760DC">
          <w:rPr>
            <w:webHidden/>
          </w:rPr>
          <w:fldChar w:fldCharType="end"/>
        </w:r>
      </w:hyperlink>
    </w:p>
    <w:p w14:paraId="11FDBC39"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54" w:history="1">
        <w:r w:rsidR="00F760DC" w:rsidRPr="005F5D45">
          <w:rPr>
            <w:rStyle w:val="Hipercze"/>
            <w:rFonts w:eastAsia="Calibri"/>
            <w:lang w:val="pl-PL"/>
          </w:rPr>
          <w:t>Spis tabel</w:t>
        </w:r>
        <w:r w:rsidR="00F760DC">
          <w:rPr>
            <w:webHidden/>
          </w:rPr>
          <w:tab/>
        </w:r>
        <w:r w:rsidR="00F760DC">
          <w:rPr>
            <w:webHidden/>
          </w:rPr>
          <w:fldChar w:fldCharType="begin"/>
        </w:r>
        <w:r w:rsidR="00F760DC">
          <w:rPr>
            <w:webHidden/>
          </w:rPr>
          <w:instrText xml:space="preserve"> PAGEREF _Toc486537954 \h </w:instrText>
        </w:r>
        <w:r w:rsidR="00F760DC">
          <w:rPr>
            <w:webHidden/>
          </w:rPr>
        </w:r>
        <w:r w:rsidR="00F760DC">
          <w:rPr>
            <w:webHidden/>
          </w:rPr>
          <w:fldChar w:fldCharType="separate"/>
        </w:r>
        <w:r w:rsidR="005C7285">
          <w:rPr>
            <w:webHidden/>
          </w:rPr>
          <w:t>87</w:t>
        </w:r>
        <w:r w:rsidR="00F760DC">
          <w:rPr>
            <w:webHidden/>
          </w:rPr>
          <w:fldChar w:fldCharType="end"/>
        </w:r>
      </w:hyperlink>
    </w:p>
    <w:p w14:paraId="4E2A8876" w14:textId="77777777" w:rsidR="00F760DC" w:rsidRDefault="00094076">
      <w:pPr>
        <w:pStyle w:val="Spistreci2"/>
        <w:rPr>
          <w:rFonts w:asciiTheme="minorHAnsi" w:eastAsiaTheme="minorEastAsia" w:hAnsiTheme="minorHAnsi" w:cstheme="minorBidi"/>
          <w:kern w:val="0"/>
          <w:sz w:val="22"/>
          <w:szCs w:val="22"/>
          <w:lang w:val="pl-PL" w:eastAsia="pl-PL"/>
        </w:rPr>
      </w:pPr>
      <w:hyperlink w:anchor="_Toc486537955" w:history="1">
        <w:r w:rsidR="00F760DC" w:rsidRPr="005F5D45">
          <w:rPr>
            <w:rStyle w:val="Hipercze"/>
            <w:rFonts w:eastAsia="Calibri"/>
            <w:lang w:val="pl-PL"/>
          </w:rPr>
          <w:t>Spis wykresów</w:t>
        </w:r>
        <w:r w:rsidR="00F760DC">
          <w:rPr>
            <w:webHidden/>
          </w:rPr>
          <w:tab/>
        </w:r>
        <w:r w:rsidR="00F760DC">
          <w:rPr>
            <w:webHidden/>
          </w:rPr>
          <w:fldChar w:fldCharType="begin"/>
        </w:r>
        <w:r w:rsidR="00F760DC">
          <w:rPr>
            <w:webHidden/>
          </w:rPr>
          <w:instrText xml:space="preserve"> PAGEREF _Toc486537955 \h </w:instrText>
        </w:r>
        <w:r w:rsidR="00F760DC">
          <w:rPr>
            <w:webHidden/>
          </w:rPr>
        </w:r>
        <w:r w:rsidR="00F760DC">
          <w:rPr>
            <w:webHidden/>
          </w:rPr>
          <w:fldChar w:fldCharType="separate"/>
        </w:r>
        <w:r w:rsidR="005C7285">
          <w:rPr>
            <w:webHidden/>
          </w:rPr>
          <w:t>88</w:t>
        </w:r>
        <w:r w:rsidR="00F760DC">
          <w:rPr>
            <w:webHidden/>
          </w:rPr>
          <w:fldChar w:fldCharType="end"/>
        </w:r>
      </w:hyperlink>
    </w:p>
    <w:p w14:paraId="034C8366" w14:textId="77777777" w:rsidR="002A2DDD" w:rsidRDefault="00AB6930" w:rsidP="00CE0CD5">
      <w:pPr>
        <w:pStyle w:val="EYContentsContinued"/>
        <w:tabs>
          <w:tab w:val="right" w:leader="dot" w:pos="9000"/>
        </w:tabs>
        <w:rPr>
          <w:rFonts w:ascii="EYInterstate Light" w:hAnsi="EYInterstate Light" w:cs="Arial"/>
          <w:color w:val="auto"/>
          <w:sz w:val="20"/>
          <w:lang w:eastAsia="en-GB"/>
        </w:rPr>
      </w:pPr>
      <w:r>
        <w:rPr>
          <w:rFonts w:ascii="EYInterstate Light" w:hAnsi="EYInterstate Light" w:cs="Arial"/>
          <w:color w:val="auto"/>
          <w:sz w:val="20"/>
          <w:lang w:eastAsia="en-GB"/>
        </w:rPr>
        <w:fldChar w:fldCharType="end"/>
      </w:r>
    </w:p>
    <w:p w14:paraId="2959A152" w14:textId="77777777" w:rsidR="002A2DDD" w:rsidRDefault="002A2DDD">
      <w:pPr>
        <w:widowControl/>
        <w:autoSpaceDE/>
        <w:autoSpaceDN/>
        <w:adjustRightInd/>
        <w:spacing w:line="240" w:lineRule="auto"/>
        <w:rPr>
          <w:rFonts w:cs="Arial"/>
          <w:kern w:val="12"/>
          <w:sz w:val="20"/>
          <w:szCs w:val="24"/>
          <w:lang w:eastAsia="en-GB"/>
        </w:rPr>
      </w:pPr>
      <w:r>
        <w:rPr>
          <w:rFonts w:cs="Arial"/>
          <w:sz w:val="20"/>
          <w:lang w:eastAsia="en-GB"/>
        </w:rPr>
        <w:br w:type="page"/>
      </w:r>
    </w:p>
    <w:p w14:paraId="6E8E8248" w14:textId="77777777" w:rsidR="002A2DDD" w:rsidRDefault="002A2DDD" w:rsidP="002A2DDD">
      <w:pPr>
        <w:pStyle w:val="EYHeading1"/>
        <w:rPr>
          <w:rFonts w:eastAsia="Calibri"/>
        </w:rPr>
      </w:pPr>
      <w:bookmarkStart w:id="0" w:name="_Toc486537895"/>
      <w:bookmarkStart w:id="1" w:name="_Toc212886784"/>
      <w:proofErr w:type="spellStart"/>
      <w:r w:rsidRPr="002A2DDD">
        <w:rPr>
          <w:rFonts w:eastAsia="Calibri"/>
        </w:rPr>
        <w:lastRenderedPageBreak/>
        <w:t>Streszczenie</w:t>
      </w:r>
      <w:proofErr w:type="spellEnd"/>
      <w:r w:rsidRPr="002A2DDD">
        <w:rPr>
          <w:rFonts w:eastAsia="Calibri"/>
        </w:rPr>
        <w:t xml:space="preserve"> </w:t>
      </w:r>
      <w:proofErr w:type="spellStart"/>
      <w:r w:rsidRPr="002A2DDD">
        <w:rPr>
          <w:rFonts w:eastAsia="Calibri"/>
        </w:rPr>
        <w:t>zarządcze</w:t>
      </w:r>
      <w:bookmarkEnd w:id="0"/>
      <w:proofErr w:type="spellEnd"/>
    </w:p>
    <w:p w14:paraId="564B014F" w14:textId="77777777" w:rsidR="00AF7742" w:rsidRDefault="00AF7742" w:rsidP="0082391E">
      <w:pPr>
        <w:rPr>
          <w:rFonts w:eastAsia="Calibri"/>
          <w:b/>
          <w:lang w:val="pl-PL"/>
        </w:rPr>
      </w:pPr>
    </w:p>
    <w:p w14:paraId="6BCA988B" w14:textId="6BF6C2AF" w:rsidR="00AF7742" w:rsidRDefault="002029F1" w:rsidP="009564B5">
      <w:pPr>
        <w:rPr>
          <w:rFonts w:eastAsia="Calibri"/>
          <w:lang w:val="pl-PL"/>
        </w:rPr>
      </w:pPr>
      <w:r w:rsidRPr="00060165">
        <w:rPr>
          <w:rFonts w:eastAsia="Calibri"/>
          <w:b/>
          <w:lang w:val="pl-PL"/>
        </w:rPr>
        <w:t>Przewlekła choroba nerek</w:t>
      </w:r>
      <w:r>
        <w:rPr>
          <w:rFonts w:eastAsia="Calibri"/>
          <w:b/>
          <w:lang w:val="pl-PL"/>
        </w:rPr>
        <w:t xml:space="preserve"> to duże wyzwanie dla systemu opieki zdrowotnej</w:t>
      </w:r>
    </w:p>
    <w:p w14:paraId="47EE35E2" w14:textId="2651DB4D" w:rsidR="009564B5" w:rsidRPr="00A5257E" w:rsidRDefault="009564B5" w:rsidP="009564B5">
      <w:pPr>
        <w:rPr>
          <w:rFonts w:eastAsia="Calibri"/>
          <w:color w:val="FF0000"/>
          <w:lang w:val="pl-PL"/>
        </w:rPr>
      </w:pPr>
      <w:r>
        <w:rPr>
          <w:rFonts w:eastAsia="Calibri"/>
          <w:lang w:val="pl-PL"/>
        </w:rPr>
        <w:t xml:space="preserve">Przewlekłość choroby nerek oznacza stopniową, nieodwracalną utratę funkcjonalności narządu w czasie, co ma bezpośredni wpływ na spadek jakości życia osób z </w:t>
      </w:r>
      <w:proofErr w:type="spellStart"/>
      <w:r>
        <w:rPr>
          <w:rFonts w:eastAsia="Calibri"/>
          <w:lang w:val="pl-PL"/>
        </w:rPr>
        <w:t>PChN</w:t>
      </w:r>
      <w:proofErr w:type="spellEnd"/>
      <w:r>
        <w:rPr>
          <w:rFonts w:eastAsia="Calibri"/>
          <w:lang w:val="pl-PL"/>
        </w:rPr>
        <w:t>.</w:t>
      </w:r>
      <w:r w:rsidRPr="00BE6849" w:rsidDel="0082391E">
        <w:rPr>
          <w:rFonts w:eastAsia="Calibri"/>
          <w:color w:val="FF0000"/>
          <w:lang w:val="pl-PL"/>
        </w:rPr>
        <w:t xml:space="preserve"> </w:t>
      </w:r>
      <w:r w:rsidR="00517788" w:rsidRPr="00060165">
        <w:rPr>
          <w:rFonts w:eastAsia="Calibri"/>
          <w:color w:val="000000" w:themeColor="text1"/>
          <w:lang w:val="pl-PL"/>
        </w:rPr>
        <w:t>Choroba ta</w:t>
      </w:r>
      <w:r w:rsidRPr="00060165">
        <w:rPr>
          <w:rFonts w:eastAsia="Calibri"/>
          <w:color w:val="000000" w:themeColor="text1"/>
          <w:szCs w:val="22"/>
          <w:lang w:val="pl-PL"/>
        </w:rPr>
        <w:t xml:space="preserve"> zmienia codzienność i jakość życia pacjentów</w:t>
      </w:r>
      <w:r w:rsidR="00517788">
        <w:rPr>
          <w:rFonts w:eastAsia="Calibri"/>
          <w:color w:val="000000" w:themeColor="text1"/>
          <w:szCs w:val="22"/>
          <w:lang w:val="pl-PL"/>
        </w:rPr>
        <w:t>.</w:t>
      </w:r>
      <w:r w:rsidRPr="00060165">
        <w:rPr>
          <w:rFonts w:eastAsia="Calibri"/>
          <w:color w:val="000000" w:themeColor="text1"/>
          <w:szCs w:val="22"/>
          <w:lang w:val="pl-PL"/>
        </w:rPr>
        <w:t xml:space="preserve"> </w:t>
      </w:r>
      <w:r w:rsidR="00517788">
        <w:rPr>
          <w:rFonts w:eastAsia="Calibri"/>
          <w:color w:val="000000" w:themeColor="text1"/>
          <w:szCs w:val="22"/>
          <w:lang w:val="pl-PL"/>
        </w:rPr>
        <w:t>W</w:t>
      </w:r>
      <w:r w:rsidRPr="00060165">
        <w:rPr>
          <w:rFonts w:eastAsia="Calibri"/>
          <w:color w:val="000000" w:themeColor="text1"/>
          <w:szCs w:val="22"/>
          <w:lang w:val="pl-PL"/>
        </w:rPr>
        <w:t xml:space="preserve"> </w:t>
      </w:r>
      <w:r w:rsidR="00517788">
        <w:rPr>
          <w:rFonts w:eastAsia="Calibri"/>
          <w:color w:val="000000" w:themeColor="text1"/>
          <w:szCs w:val="22"/>
          <w:lang w:val="pl-PL"/>
        </w:rPr>
        <w:t>najbardziej zaawansowanym</w:t>
      </w:r>
      <w:r>
        <w:rPr>
          <w:rFonts w:eastAsia="Calibri"/>
          <w:szCs w:val="22"/>
          <w:lang w:val="pl-PL"/>
        </w:rPr>
        <w:t xml:space="preserve"> stadium (schyłkowa niewydolność nerek) pacjenci podlegają leczeniu nerkozastępczemu, co najczęściej wiąże się z koniecznością hemodializy trwającej nawet paręnaście godzin w tygodniu (np. 3 razy w tygodniu po 4 godziny). Oprócz wymiaru zdrowotnego i psychospołecznego choroby, wiążącego się z jej wysokimi kosztami pośrednimi, leczenie </w:t>
      </w:r>
      <w:proofErr w:type="spellStart"/>
      <w:r>
        <w:rPr>
          <w:rFonts w:eastAsia="Calibri"/>
          <w:szCs w:val="22"/>
          <w:lang w:val="pl-PL"/>
        </w:rPr>
        <w:t>PChN</w:t>
      </w:r>
      <w:proofErr w:type="spellEnd"/>
      <w:r>
        <w:rPr>
          <w:rFonts w:eastAsia="Calibri"/>
          <w:szCs w:val="22"/>
          <w:lang w:val="pl-PL"/>
        </w:rPr>
        <w:t xml:space="preserve"> stanowi również istotną pozycj</w:t>
      </w:r>
      <w:r w:rsidR="005C0E8A">
        <w:rPr>
          <w:rFonts w:eastAsia="Calibri"/>
          <w:szCs w:val="22"/>
          <w:lang w:val="pl-PL"/>
        </w:rPr>
        <w:t>ę</w:t>
      </w:r>
      <w:r>
        <w:rPr>
          <w:rFonts w:eastAsia="Calibri"/>
          <w:szCs w:val="22"/>
          <w:lang w:val="pl-PL"/>
        </w:rPr>
        <w:t xml:space="preserve"> kosztów bezpośrednich ponoszonych przez płatników systemu ochrony zdrowia.</w:t>
      </w:r>
    </w:p>
    <w:p w14:paraId="16BE7CB9" w14:textId="2AFC01CA" w:rsidR="0082391E" w:rsidRDefault="0082391E" w:rsidP="0082391E">
      <w:pPr>
        <w:rPr>
          <w:rFonts w:eastAsia="Calibri"/>
          <w:szCs w:val="22"/>
          <w:lang w:val="pl-PL"/>
        </w:rPr>
      </w:pPr>
      <w:r>
        <w:rPr>
          <w:rFonts w:eastAsia="Calibri"/>
          <w:lang w:val="pl-PL"/>
        </w:rPr>
        <w:t xml:space="preserve">Szacuje się, że częstość występowania </w:t>
      </w:r>
      <w:proofErr w:type="spellStart"/>
      <w:r>
        <w:rPr>
          <w:rFonts w:eastAsia="Calibri"/>
          <w:lang w:val="pl-PL"/>
        </w:rPr>
        <w:t>PChN</w:t>
      </w:r>
      <w:proofErr w:type="spellEnd"/>
      <w:r>
        <w:rPr>
          <w:rFonts w:eastAsia="Calibri"/>
          <w:lang w:val="pl-PL"/>
        </w:rPr>
        <w:t xml:space="preserve"> wynosi 13% w skali globalnej, przy czym w samej Europie chorobowość może kształtować się nawet na poziomie 18</w:t>
      </w:r>
      <w:r w:rsidRPr="003F44FD">
        <w:rPr>
          <w:rFonts w:eastAsia="Calibri"/>
          <w:szCs w:val="22"/>
          <w:lang w:val="pl-PL"/>
        </w:rPr>
        <w:t>%</w:t>
      </w:r>
      <w:r w:rsidRPr="003F44FD">
        <w:rPr>
          <w:rStyle w:val="Odwoanieprzypisudolnego"/>
          <w:rFonts w:eastAsia="Calibri"/>
          <w:sz w:val="22"/>
          <w:szCs w:val="22"/>
          <w:lang w:val="pl-PL"/>
        </w:rPr>
        <w:footnoteReference w:id="2"/>
      </w:r>
      <w:r w:rsidRPr="003F44FD">
        <w:rPr>
          <w:rFonts w:eastAsia="Calibri"/>
          <w:szCs w:val="22"/>
          <w:lang w:val="pl-PL"/>
        </w:rPr>
        <w:t xml:space="preserve">. Z uwagi na fakt, że </w:t>
      </w:r>
      <w:proofErr w:type="spellStart"/>
      <w:r w:rsidRPr="003F44FD">
        <w:rPr>
          <w:rFonts w:eastAsia="Calibri"/>
          <w:szCs w:val="22"/>
          <w:lang w:val="pl-PL"/>
        </w:rPr>
        <w:t>PChN</w:t>
      </w:r>
      <w:proofErr w:type="spellEnd"/>
      <w:r w:rsidRPr="003F44FD">
        <w:rPr>
          <w:rFonts w:eastAsia="Calibri"/>
          <w:szCs w:val="22"/>
          <w:lang w:val="pl-PL"/>
        </w:rPr>
        <w:t xml:space="preserve"> jest chorobą powszechnie występującą oraz może być następstwem (powikłaniem) wszystkich chorób cywilizacyjnych, </w:t>
      </w:r>
      <w:r>
        <w:rPr>
          <w:rFonts w:eastAsia="Calibri"/>
          <w:szCs w:val="22"/>
          <w:lang w:val="pl-PL"/>
        </w:rPr>
        <w:t>przewlekłą chorobę nerek</w:t>
      </w:r>
      <w:r w:rsidRPr="003F44FD">
        <w:rPr>
          <w:rFonts w:eastAsia="Calibri"/>
          <w:szCs w:val="22"/>
          <w:lang w:val="pl-PL"/>
        </w:rPr>
        <w:t xml:space="preserve"> uznano również za chorobę cywilizacyjną XXI wieku</w:t>
      </w:r>
      <w:r w:rsidRPr="003F44FD">
        <w:rPr>
          <w:rStyle w:val="Odwoanieprzypisudolnego"/>
          <w:rFonts w:eastAsia="Calibri"/>
          <w:sz w:val="22"/>
          <w:szCs w:val="22"/>
          <w:lang w:val="pl-PL"/>
        </w:rPr>
        <w:footnoteReference w:id="3"/>
      </w:r>
      <w:r w:rsidRPr="003F44FD">
        <w:rPr>
          <w:rFonts w:eastAsia="Calibri"/>
          <w:szCs w:val="22"/>
          <w:lang w:val="pl-PL"/>
        </w:rPr>
        <w:t xml:space="preserve">. </w:t>
      </w:r>
    </w:p>
    <w:p w14:paraId="495AB82D" w14:textId="4D393C13" w:rsidR="009564B5" w:rsidRDefault="0017115B" w:rsidP="009564B5">
      <w:pPr>
        <w:rPr>
          <w:rFonts w:eastAsia="Calibri"/>
          <w:color w:val="000000" w:themeColor="text1"/>
          <w:lang w:val="pl-PL"/>
        </w:rPr>
      </w:pPr>
      <w:r>
        <w:rPr>
          <w:rFonts w:eastAsia="Calibri"/>
          <w:color w:val="000000" w:themeColor="text1"/>
          <w:lang w:val="pl-PL"/>
        </w:rPr>
        <w:t xml:space="preserve">Populację pacjentów z </w:t>
      </w:r>
      <w:proofErr w:type="spellStart"/>
      <w:r>
        <w:rPr>
          <w:rFonts w:eastAsia="Calibri"/>
          <w:color w:val="000000" w:themeColor="text1"/>
          <w:lang w:val="pl-PL"/>
        </w:rPr>
        <w:t>PChN</w:t>
      </w:r>
      <w:proofErr w:type="spellEnd"/>
      <w:r>
        <w:rPr>
          <w:rFonts w:eastAsia="Calibri"/>
          <w:color w:val="000000" w:themeColor="text1"/>
          <w:lang w:val="pl-PL"/>
        </w:rPr>
        <w:t xml:space="preserve"> w Polsce szacuje się na ponad 4 miliony chorych, a ok</w:t>
      </w:r>
      <w:r w:rsidR="00282AA0">
        <w:rPr>
          <w:rFonts w:eastAsia="Calibri"/>
          <w:color w:val="000000" w:themeColor="text1"/>
          <w:lang w:val="pl-PL"/>
        </w:rPr>
        <w:t>oło</w:t>
      </w:r>
      <w:r>
        <w:rPr>
          <w:rFonts w:eastAsia="Calibri"/>
          <w:color w:val="000000" w:themeColor="text1"/>
          <w:lang w:val="pl-PL"/>
        </w:rPr>
        <w:t xml:space="preserve"> 20 tysięcy pacjentów to </w:t>
      </w:r>
      <w:r w:rsidR="00282AA0">
        <w:rPr>
          <w:rFonts w:eastAsia="Calibri"/>
          <w:color w:val="000000" w:themeColor="text1"/>
          <w:lang w:val="pl-PL"/>
        </w:rPr>
        <w:t>chorzy</w:t>
      </w:r>
      <w:r>
        <w:rPr>
          <w:rFonts w:eastAsia="Calibri"/>
          <w:color w:val="000000" w:themeColor="text1"/>
          <w:lang w:val="pl-PL"/>
        </w:rPr>
        <w:t xml:space="preserve"> objęci dializoterapią, leczeniem umożliwiającym dalsze życie tej grupie osób. Dializy to metoda leczenia,</w:t>
      </w:r>
      <w:r w:rsidR="00282AA0">
        <w:rPr>
          <w:rFonts w:eastAsia="Calibri"/>
          <w:color w:val="000000" w:themeColor="text1"/>
          <w:lang w:val="pl-PL"/>
        </w:rPr>
        <w:t xml:space="preserve"> </w:t>
      </w:r>
      <w:r w:rsidR="00282AA0">
        <w:rPr>
          <w:rFonts w:eastAsia="Calibri"/>
          <w:lang w:val="pl-PL"/>
        </w:rPr>
        <w:t>któr</w:t>
      </w:r>
      <w:r w:rsidR="00517788">
        <w:rPr>
          <w:rFonts w:eastAsia="Calibri"/>
          <w:lang w:val="pl-PL"/>
        </w:rPr>
        <w:t>ej</w:t>
      </w:r>
      <w:r w:rsidR="00282AA0">
        <w:rPr>
          <w:rFonts w:eastAsia="Calibri"/>
          <w:lang w:val="pl-PL"/>
        </w:rPr>
        <w:t xml:space="preserve"> celem jest oczyszczanie krwi i płynów ustrojowych z</w:t>
      </w:r>
      <w:r w:rsidR="001C403A">
        <w:rPr>
          <w:rFonts w:eastAsia="Calibri"/>
          <w:lang w:val="pl-PL"/>
        </w:rPr>
        <w:t>e</w:t>
      </w:r>
      <w:r w:rsidR="00282AA0">
        <w:rPr>
          <w:rFonts w:eastAsia="Calibri"/>
          <w:lang w:val="pl-PL"/>
        </w:rPr>
        <w:t xml:space="preserve"> zbędnych substancji będących toksynami mocznicowymi oraz nadmiaru wody. Jest to terapia specjalistyczna, wymagająca istotnych nakładów finansowych.</w:t>
      </w:r>
      <w:r>
        <w:rPr>
          <w:rFonts w:eastAsia="Calibri"/>
          <w:color w:val="000000" w:themeColor="text1"/>
          <w:lang w:val="pl-PL"/>
        </w:rPr>
        <w:t xml:space="preserve"> </w:t>
      </w:r>
      <w:r w:rsidR="00282AA0">
        <w:rPr>
          <w:rFonts w:eastAsia="Calibri"/>
          <w:color w:val="000000" w:themeColor="text1"/>
          <w:lang w:val="pl-PL"/>
        </w:rPr>
        <w:t>Koszty leczeni</w:t>
      </w:r>
      <w:r w:rsidR="00517788">
        <w:rPr>
          <w:rFonts w:eastAsia="Calibri"/>
          <w:color w:val="000000" w:themeColor="text1"/>
          <w:lang w:val="pl-PL"/>
        </w:rPr>
        <w:t>a</w:t>
      </w:r>
      <w:r w:rsidR="00282AA0">
        <w:rPr>
          <w:rFonts w:eastAsia="Calibri"/>
          <w:color w:val="000000" w:themeColor="text1"/>
          <w:lang w:val="pl-PL"/>
        </w:rPr>
        <w:t xml:space="preserve"> osób w zaawansowanym stadium </w:t>
      </w:r>
      <w:proofErr w:type="spellStart"/>
      <w:r w:rsidR="00282AA0">
        <w:rPr>
          <w:rFonts w:eastAsia="Calibri"/>
          <w:color w:val="000000" w:themeColor="text1"/>
          <w:lang w:val="pl-PL"/>
        </w:rPr>
        <w:t>PChN</w:t>
      </w:r>
      <w:proofErr w:type="spellEnd"/>
      <w:r w:rsidR="00282AA0">
        <w:rPr>
          <w:rFonts w:eastAsia="Calibri"/>
          <w:color w:val="000000" w:themeColor="text1"/>
          <w:lang w:val="pl-PL"/>
        </w:rPr>
        <w:t xml:space="preserve"> szacowane</w:t>
      </w:r>
      <w:r w:rsidR="009564B5">
        <w:rPr>
          <w:rFonts w:eastAsia="Calibri"/>
          <w:color w:val="000000" w:themeColor="text1"/>
          <w:lang w:val="pl-PL"/>
        </w:rPr>
        <w:t xml:space="preserve"> się </w:t>
      </w:r>
      <w:r w:rsidR="00282AA0">
        <w:rPr>
          <w:rFonts w:eastAsia="Calibri"/>
          <w:color w:val="000000" w:themeColor="text1"/>
          <w:lang w:val="pl-PL"/>
        </w:rPr>
        <w:t>około</w:t>
      </w:r>
      <w:r w:rsidR="009564B5">
        <w:rPr>
          <w:rFonts w:eastAsia="Calibri"/>
          <w:color w:val="000000" w:themeColor="text1"/>
          <w:lang w:val="pl-PL"/>
        </w:rPr>
        <w:t xml:space="preserve"> 1 mld</w:t>
      </w:r>
      <w:r>
        <w:rPr>
          <w:rFonts w:eastAsia="Calibri"/>
          <w:color w:val="000000" w:themeColor="text1"/>
          <w:lang w:val="pl-PL"/>
        </w:rPr>
        <w:t xml:space="preserve"> 400 mln PLN</w:t>
      </w:r>
      <w:r w:rsidR="00282AA0">
        <w:rPr>
          <w:rStyle w:val="Odwoanieprzypisudolnego"/>
          <w:rFonts w:eastAsia="Calibri"/>
          <w:color w:val="000000" w:themeColor="text1"/>
          <w:lang w:val="pl-PL"/>
        </w:rPr>
        <w:footnoteReference w:id="4"/>
      </w:r>
      <w:r>
        <w:rPr>
          <w:rFonts w:eastAsia="Calibri"/>
          <w:color w:val="000000" w:themeColor="text1"/>
          <w:lang w:val="pl-PL"/>
        </w:rPr>
        <w:t xml:space="preserve">. </w:t>
      </w:r>
      <w:r w:rsidR="009564B5">
        <w:rPr>
          <w:rFonts w:eastAsia="Calibri"/>
          <w:color w:val="000000" w:themeColor="text1"/>
          <w:lang w:val="pl-PL"/>
        </w:rPr>
        <w:t xml:space="preserve">Z kolei pacjenci w okresie </w:t>
      </w:r>
      <w:proofErr w:type="spellStart"/>
      <w:r w:rsidR="009564B5">
        <w:rPr>
          <w:rFonts w:eastAsia="Calibri"/>
          <w:color w:val="000000" w:themeColor="text1"/>
          <w:lang w:val="pl-PL"/>
        </w:rPr>
        <w:t>pr</w:t>
      </w:r>
      <w:r w:rsidR="00625F3C">
        <w:rPr>
          <w:rFonts w:eastAsia="Calibri"/>
          <w:color w:val="000000" w:themeColor="text1"/>
          <w:lang w:val="pl-PL"/>
        </w:rPr>
        <w:t>e</w:t>
      </w:r>
      <w:r w:rsidR="009564B5">
        <w:rPr>
          <w:rFonts w:eastAsia="Calibri"/>
          <w:color w:val="000000" w:themeColor="text1"/>
          <w:lang w:val="pl-PL"/>
        </w:rPr>
        <w:t>dializacyjnym</w:t>
      </w:r>
      <w:proofErr w:type="spellEnd"/>
      <w:r w:rsidR="009564B5">
        <w:rPr>
          <w:rFonts w:eastAsia="Calibri"/>
          <w:color w:val="000000" w:themeColor="text1"/>
          <w:lang w:val="pl-PL"/>
        </w:rPr>
        <w:t xml:space="preserve"> również </w:t>
      </w:r>
      <w:r w:rsidR="00282AA0">
        <w:rPr>
          <w:rFonts w:eastAsia="Calibri"/>
          <w:color w:val="000000" w:themeColor="text1"/>
          <w:lang w:val="pl-PL"/>
        </w:rPr>
        <w:t>powinni znajdować się pod</w:t>
      </w:r>
      <w:r w:rsidR="009564B5">
        <w:rPr>
          <w:rFonts w:eastAsia="Calibri"/>
          <w:color w:val="000000" w:themeColor="text1"/>
          <w:lang w:val="pl-PL"/>
        </w:rPr>
        <w:t xml:space="preserve"> stał</w:t>
      </w:r>
      <w:r w:rsidR="00282AA0">
        <w:rPr>
          <w:rFonts w:eastAsia="Calibri"/>
          <w:color w:val="000000" w:themeColor="text1"/>
          <w:lang w:val="pl-PL"/>
        </w:rPr>
        <w:t>ą kontrolą</w:t>
      </w:r>
      <w:r w:rsidR="009564B5">
        <w:rPr>
          <w:rFonts w:eastAsia="Calibri"/>
          <w:color w:val="000000" w:themeColor="text1"/>
          <w:lang w:val="pl-PL"/>
        </w:rPr>
        <w:t xml:space="preserve"> specjalistów i </w:t>
      </w:r>
      <w:r w:rsidR="00282AA0">
        <w:rPr>
          <w:rFonts w:eastAsia="Calibri"/>
          <w:color w:val="000000" w:themeColor="text1"/>
          <w:lang w:val="pl-PL"/>
        </w:rPr>
        <w:t xml:space="preserve">wymagają </w:t>
      </w:r>
      <w:r w:rsidR="009564B5">
        <w:rPr>
          <w:rFonts w:eastAsia="Calibri"/>
          <w:color w:val="000000" w:themeColor="text1"/>
          <w:lang w:val="pl-PL"/>
        </w:rPr>
        <w:t>leczenia, którego celem jest maksymalne opóźnienie momentu rozpoczęcia leczenia nerkozastępczego.</w:t>
      </w:r>
      <w:r w:rsidR="00517788">
        <w:rPr>
          <w:rFonts w:eastAsia="Calibri"/>
          <w:color w:val="000000" w:themeColor="text1"/>
          <w:lang w:val="pl-PL"/>
        </w:rPr>
        <w:t xml:space="preserve"> </w:t>
      </w:r>
    </w:p>
    <w:p w14:paraId="3A727EA2" w14:textId="51596CE6" w:rsidR="00517788" w:rsidRPr="00F90D81" w:rsidRDefault="00517788" w:rsidP="00060165">
      <w:pPr>
        <w:rPr>
          <w:lang w:val="pl-PL"/>
        </w:rPr>
      </w:pPr>
      <w:r w:rsidRPr="00F90D81">
        <w:rPr>
          <w:rFonts w:eastAsia="Calibri"/>
          <w:szCs w:val="22"/>
          <w:lang w:val="pl-PL"/>
        </w:rPr>
        <w:t>Przewlekła choroba nerek może prowadzić do rozwoju różnego rodzaju powikłań, będących dodatkowym obciążeniem zdrowotnym</w:t>
      </w:r>
      <w:r>
        <w:rPr>
          <w:rFonts w:eastAsia="Calibri"/>
          <w:szCs w:val="22"/>
          <w:lang w:val="pl-PL"/>
        </w:rPr>
        <w:t xml:space="preserve"> i psychospołecznym</w:t>
      </w:r>
      <w:r w:rsidRPr="00F90D81">
        <w:rPr>
          <w:rFonts w:eastAsia="Calibri"/>
          <w:szCs w:val="22"/>
          <w:lang w:val="pl-PL"/>
        </w:rPr>
        <w:t xml:space="preserve">. Do najczęstszych powikłań </w:t>
      </w:r>
      <w:proofErr w:type="spellStart"/>
      <w:r>
        <w:rPr>
          <w:rFonts w:eastAsia="Calibri"/>
          <w:szCs w:val="22"/>
          <w:lang w:val="pl-PL"/>
        </w:rPr>
        <w:t>PChN</w:t>
      </w:r>
      <w:proofErr w:type="spellEnd"/>
      <w:r>
        <w:rPr>
          <w:rFonts w:eastAsia="Calibri"/>
          <w:szCs w:val="22"/>
          <w:lang w:val="pl-PL"/>
        </w:rPr>
        <w:t xml:space="preserve"> </w:t>
      </w:r>
      <w:r w:rsidRPr="00F90D81">
        <w:rPr>
          <w:rFonts w:eastAsia="Calibri"/>
          <w:szCs w:val="22"/>
          <w:lang w:val="pl-PL"/>
        </w:rPr>
        <w:t>należą m.in.</w:t>
      </w:r>
      <w:r w:rsidR="00DB0C89">
        <w:rPr>
          <w:rFonts w:eastAsia="Calibri"/>
          <w:szCs w:val="22"/>
          <w:lang w:val="pl-PL"/>
        </w:rPr>
        <w:t>:</w:t>
      </w:r>
      <w:r w:rsidR="00DB0C89">
        <w:rPr>
          <w:lang w:val="pl-PL"/>
        </w:rPr>
        <w:t xml:space="preserve"> c</w:t>
      </w:r>
      <w:r w:rsidRPr="00F90D81">
        <w:rPr>
          <w:lang w:val="pl-PL"/>
        </w:rPr>
        <w:t>horoby układu krążenia</w:t>
      </w:r>
      <w:r w:rsidR="00DB0C89">
        <w:rPr>
          <w:lang w:val="pl-PL"/>
        </w:rPr>
        <w:t>, n</w:t>
      </w:r>
      <w:r w:rsidRPr="00F90D81">
        <w:rPr>
          <w:lang w:val="pl-PL"/>
        </w:rPr>
        <w:t>iedokrwistość (anemia)</w:t>
      </w:r>
      <w:r w:rsidR="00DB0C89">
        <w:rPr>
          <w:lang w:val="pl-PL"/>
        </w:rPr>
        <w:t>, p</w:t>
      </w:r>
      <w:r w:rsidRPr="00F90D81">
        <w:rPr>
          <w:lang w:val="pl-PL"/>
        </w:rPr>
        <w:t>owikłania mineraln</w:t>
      </w:r>
      <w:r>
        <w:rPr>
          <w:lang w:val="pl-PL"/>
        </w:rPr>
        <w:t>o-</w:t>
      </w:r>
      <w:r w:rsidRPr="00F90D81">
        <w:rPr>
          <w:lang w:val="pl-PL"/>
        </w:rPr>
        <w:t>kostne (PMK)</w:t>
      </w:r>
      <w:r w:rsidR="00DB0C89">
        <w:rPr>
          <w:lang w:val="pl-PL"/>
        </w:rPr>
        <w:t>, n</w:t>
      </w:r>
      <w:r w:rsidRPr="00F90D81">
        <w:rPr>
          <w:lang w:val="pl-PL"/>
        </w:rPr>
        <w:t>iedożywienie białkowo-kaloryczne</w:t>
      </w:r>
      <w:r w:rsidR="00DB0C89">
        <w:rPr>
          <w:lang w:val="pl-PL"/>
        </w:rPr>
        <w:t>.</w:t>
      </w:r>
    </w:p>
    <w:p w14:paraId="322C7C73" w14:textId="77AB43E7" w:rsidR="00DB0C89" w:rsidRDefault="00AE7420" w:rsidP="00060165">
      <w:pPr>
        <w:rPr>
          <w:rFonts w:eastAsia="Calibri"/>
          <w:lang w:val="pl-PL"/>
        </w:rPr>
      </w:pPr>
      <w:r w:rsidRPr="00D61427">
        <w:rPr>
          <w:rFonts w:eastAsia="Calibri"/>
          <w:lang w:val="pl-PL"/>
        </w:rPr>
        <w:t>W Polsce na milion mieszkańców ponad 130 osób rocznie roz</w:t>
      </w:r>
      <w:r w:rsidR="005C3AEF" w:rsidRPr="005C3AEF">
        <w:rPr>
          <w:rFonts w:eastAsia="Calibri"/>
          <w:lang w:val="pl-PL"/>
        </w:rPr>
        <w:t xml:space="preserve">poczyna leczenie nerkozastępcze, a </w:t>
      </w:r>
      <w:r w:rsidR="005C3AEF">
        <w:rPr>
          <w:rFonts w:eastAsia="Calibri"/>
          <w:lang w:val="pl-PL"/>
        </w:rPr>
        <w:t xml:space="preserve">ze względu na </w:t>
      </w:r>
      <w:r w:rsidR="00EC2F48">
        <w:rPr>
          <w:rFonts w:eastAsia="Calibri"/>
          <w:lang w:val="pl-PL"/>
        </w:rPr>
        <w:t xml:space="preserve">zjawisko </w:t>
      </w:r>
      <w:r w:rsidR="005C3AEF">
        <w:rPr>
          <w:rFonts w:eastAsia="Calibri"/>
          <w:lang w:val="pl-PL"/>
        </w:rPr>
        <w:t>starzejące</w:t>
      </w:r>
      <w:r w:rsidR="00EC2F48">
        <w:rPr>
          <w:rFonts w:eastAsia="Calibri"/>
          <w:lang w:val="pl-PL"/>
        </w:rPr>
        <w:t>go</w:t>
      </w:r>
      <w:r w:rsidR="005C3AEF">
        <w:rPr>
          <w:rFonts w:eastAsia="Calibri"/>
          <w:lang w:val="pl-PL"/>
        </w:rPr>
        <w:t xml:space="preserve"> się społeczeństw</w:t>
      </w:r>
      <w:r w:rsidR="00EC2F48">
        <w:rPr>
          <w:rFonts w:eastAsia="Calibri"/>
          <w:lang w:val="pl-PL"/>
        </w:rPr>
        <w:t>a</w:t>
      </w:r>
      <w:r w:rsidR="005C3AEF">
        <w:rPr>
          <w:rFonts w:eastAsia="Calibri"/>
          <w:lang w:val="pl-PL"/>
        </w:rPr>
        <w:t xml:space="preserve"> liczba chorych na </w:t>
      </w:r>
      <w:proofErr w:type="spellStart"/>
      <w:r w:rsidR="005C3AEF">
        <w:rPr>
          <w:rFonts w:eastAsia="Calibri"/>
          <w:lang w:val="pl-PL"/>
        </w:rPr>
        <w:t>PChN</w:t>
      </w:r>
      <w:proofErr w:type="spellEnd"/>
      <w:r w:rsidR="005C3AEF">
        <w:rPr>
          <w:rFonts w:eastAsia="Calibri"/>
          <w:lang w:val="pl-PL"/>
        </w:rPr>
        <w:t xml:space="preserve"> będzie wzrastać. </w:t>
      </w:r>
      <w:r w:rsidR="00DB0C89">
        <w:rPr>
          <w:rFonts w:eastAsia="Calibri"/>
          <w:lang w:val="pl-PL"/>
        </w:rPr>
        <w:t>Przy j</w:t>
      </w:r>
      <w:r w:rsidR="005C3AEF">
        <w:rPr>
          <w:rFonts w:eastAsia="Calibri"/>
          <w:lang w:val="pl-PL"/>
        </w:rPr>
        <w:t>ednocześnie obserwowany</w:t>
      </w:r>
      <w:r w:rsidR="00DB0C89">
        <w:rPr>
          <w:rFonts w:eastAsia="Calibri"/>
          <w:lang w:val="pl-PL"/>
        </w:rPr>
        <w:t>m</w:t>
      </w:r>
      <w:r w:rsidR="005C3AEF">
        <w:rPr>
          <w:rFonts w:eastAsia="Calibri"/>
          <w:lang w:val="pl-PL"/>
        </w:rPr>
        <w:t xml:space="preserve"> trend</w:t>
      </w:r>
      <w:r w:rsidR="00DB0C89">
        <w:rPr>
          <w:rFonts w:eastAsia="Calibri"/>
          <w:lang w:val="pl-PL"/>
        </w:rPr>
        <w:t>zie</w:t>
      </w:r>
      <w:r w:rsidR="005C3AEF">
        <w:rPr>
          <w:rFonts w:eastAsia="Calibri"/>
          <w:lang w:val="pl-PL"/>
        </w:rPr>
        <w:t xml:space="preserve"> rosnącej</w:t>
      </w:r>
      <w:r w:rsidR="005C3AEF" w:rsidRPr="00D61427">
        <w:rPr>
          <w:rFonts w:eastAsia="Calibri"/>
          <w:lang w:val="pl-PL"/>
        </w:rPr>
        <w:t xml:space="preserve"> liczby</w:t>
      </w:r>
      <w:r w:rsidRPr="00D61427">
        <w:rPr>
          <w:rFonts w:eastAsia="Calibri"/>
          <w:lang w:val="pl-PL"/>
        </w:rPr>
        <w:t xml:space="preserve"> chorych podlegającyc</w:t>
      </w:r>
      <w:r w:rsidRPr="005C3AEF">
        <w:rPr>
          <w:rFonts w:eastAsia="Calibri"/>
          <w:lang w:val="pl-PL"/>
        </w:rPr>
        <w:t>h długookresowej hemodializoterapii przez kilkanaście lub nawet kilkadziesiąt lat</w:t>
      </w:r>
      <w:r w:rsidR="00DB0C89">
        <w:rPr>
          <w:rFonts w:eastAsia="Calibri"/>
          <w:lang w:val="pl-PL"/>
        </w:rPr>
        <w:t xml:space="preserve"> oraz znaczącej liczbie hospitalizacji pacjentów, nasuwa się pytanie czy aktualny model opieki nad pacjentem z </w:t>
      </w:r>
      <w:proofErr w:type="spellStart"/>
      <w:r w:rsidR="00DB0C89">
        <w:rPr>
          <w:rFonts w:eastAsia="Calibri"/>
          <w:lang w:val="pl-PL"/>
        </w:rPr>
        <w:t>PChN</w:t>
      </w:r>
      <w:proofErr w:type="spellEnd"/>
      <w:r w:rsidR="00DB0C89">
        <w:rPr>
          <w:rFonts w:eastAsia="Calibri"/>
          <w:lang w:val="pl-PL"/>
        </w:rPr>
        <w:t xml:space="preserve"> jest właściwie </w:t>
      </w:r>
      <w:r w:rsidR="00DB0C89">
        <w:rPr>
          <w:rFonts w:eastAsia="Calibri"/>
          <w:lang w:val="pl-PL"/>
        </w:rPr>
        <w:lastRenderedPageBreak/>
        <w:t>ustrukturyzowany.</w:t>
      </w:r>
    </w:p>
    <w:p w14:paraId="2899EB47" w14:textId="1F13B9C3" w:rsidR="005C3AEF" w:rsidRPr="00D61427" w:rsidRDefault="005C3AEF" w:rsidP="00060165">
      <w:pPr>
        <w:rPr>
          <w:rFonts w:eastAsia="Calibri"/>
          <w:lang w:val="pl-PL"/>
        </w:rPr>
      </w:pPr>
      <w:r>
        <w:rPr>
          <w:rFonts w:eastAsia="Calibri"/>
          <w:lang w:val="pl-PL"/>
        </w:rPr>
        <w:t>Niniejszy raport ma na celu przyjrzenie się</w:t>
      </w:r>
      <w:r w:rsidR="00EC2F48">
        <w:rPr>
          <w:rFonts w:eastAsia="Calibri"/>
          <w:lang w:val="pl-PL"/>
        </w:rPr>
        <w:t xml:space="preserve"> aktualnemu</w:t>
      </w:r>
      <w:r>
        <w:rPr>
          <w:rFonts w:eastAsia="Calibri"/>
          <w:lang w:val="pl-PL"/>
        </w:rPr>
        <w:t xml:space="preserve"> modelowi opieki zdrowotnej</w:t>
      </w:r>
      <w:r w:rsidR="00253A3F">
        <w:rPr>
          <w:rFonts w:eastAsia="Calibri"/>
          <w:lang w:val="pl-PL"/>
        </w:rPr>
        <w:t>, który związany jest</w:t>
      </w:r>
      <w:r>
        <w:rPr>
          <w:rFonts w:eastAsia="Calibri"/>
          <w:lang w:val="pl-PL"/>
        </w:rPr>
        <w:t xml:space="preserve"> </w:t>
      </w:r>
      <w:r w:rsidR="00EC2F48">
        <w:rPr>
          <w:rFonts w:eastAsia="Calibri"/>
          <w:lang w:val="pl-PL"/>
        </w:rPr>
        <w:t>z tą</w:t>
      </w:r>
      <w:r>
        <w:rPr>
          <w:rFonts w:eastAsia="Calibri"/>
          <w:lang w:val="pl-PL"/>
        </w:rPr>
        <w:t xml:space="preserve"> grupą pacjentów </w:t>
      </w:r>
      <w:r w:rsidR="00EC2F48">
        <w:rPr>
          <w:rFonts w:eastAsia="Calibri"/>
          <w:lang w:val="pl-PL"/>
        </w:rPr>
        <w:t>oraz przedstawienie</w:t>
      </w:r>
      <w:r>
        <w:rPr>
          <w:rFonts w:eastAsia="Calibri"/>
          <w:lang w:val="pl-PL"/>
        </w:rPr>
        <w:t xml:space="preserve"> propo</w:t>
      </w:r>
      <w:r w:rsidR="00EC2F48">
        <w:rPr>
          <w:rFonts w:eastAsia="Calibri"/>
          <w:lang w:val="pl-PL"/>
        </w:rPr>
        <w:t>zycji</w:t>
      </w:r>
      <w:r>
        <w:rPr>
          <w:rFonts w:eastAsia="Calibri"/>
          <w:lang w:val="pl-PL"/>
        </w:rPr>
        <w:t xml:space="preserve"> reorganizacj</w:t>
      </w:r>
      <w:r w:rsidR="00EC2F48">
        <w:rPr>
          <w:rFonts w:eastAsia="Calibri"/>
          <w:lang w:val="pl-PL"/>
        </w:rPr>
        <w:t>i</w:t>
      </w:r>
      <w:r>
        <w:rPr>
          <w:rFonts w:eastAsia="Calibri"/>
          <w:lang w:val="pl-PL"/>
        </w:rPr>
        <w:t xml:space="preserve"> opieki w sposób, któr</w:t>
      </w:r>
      <w:r w:rsidR="00253A3F">
        <w:rPr>
          <w:rFonts w:eastAsia="Calibri"/>
          <w:lang w:val="pl-PL"/>
        </w:rPr>
        <w:t>a</w:t>
      </w:r>
      <w:r>
        <w:rPr>
          <w:rFonts w:eastAsia="Calibri"/>
          <w:lang w:val="pl-PL"/>
        </w:rPr>
        <w:t xml:space="preserve"> z jednej strony wykorzyst</w:t>
      </w:r>
      <w:r w:rsidR="00253A3F">
        <w:rPr>
          <w:rFonts w:eastAsia="Calibri"/>
          <w:lang w:val="pl-PL"/>
        </w:rPr>
        <w:t>a</w:t>
      </w:r>
      <w:r>
        <w:rPr>
          <w:rFonts w:eastAsia="Calibri"/>
          <w:lang w:val="pl-PL"/>
        </w:rPr>
        <w:t xml:space="preserve"> istniejące zasoby, a z drugiej strony </w:t>
      </w:r>
      <w:r w:rsidR="00EC2F48">
        <w:rPr>
          <w:rFonts w:eastAsia="Calibri"/>
          <w:lang w:val="pl-PL"/>
        </w:rPr>
        <w:t xml:space="preserve">ma szansę </w:t>
      </w:r>
      <w:r>
        <w:rPr>
          <w:rFonts w:eastAsia="Calibri"/>
          <w:lang w:val="pl-PL"/>
        </w:rPr>
        <w:t>zapewni</w:t>
      </w:r>
      <w:r w:rsidR="00EC2F48">
        <w:rPr>
          <w:rFonts w:eastAsia="Calibri"/>
          <w:lang w:val="pl-PL"/>
        </w:rPr>
        <w:t>ć</w:t>
      </w:r>
      <w:r>
        <w:rPr>
          <w:rFonts w:eastAsia="Calibri"/>
          <w:lang w:val="pl-PL"/>
        </w:rPr>
        <w:t xml:space="preserve"> możliwie najlepsz</w:t>
      </w:r>
      <w:r w:rsidR="00EC2F48">
        <w:rPr>
          <w:rFonts w:eastAsia="Calibri"/>
          <w:lang w:val="pl-PL"/>
        </w:rPr>
        <w:t>e</w:t>
      </w:r>
      <w:r>
        <w:rPr>
          <w:rFonts w:eastAsia="Calibri"/>
          <w:lang w:val="pl-PL"/>
        </w:rPr>
        <w:t xml:space="preserve"> wyniki leczenia.</w:t>
      </w:r>
    </w:p>
    <w:p w14:paraId="5194B14E" w14:textId="77777777" w:rsidR="002029F1" w:rsidRDefault="002029F1" w:rsidP="00060165">
      <w:pPr>
        <w:rPr>
          <w:rFonts w:eastAsia="Calibri"/>
          <w:lang w:val="pl-PL"/>
        </w:rPr>
      </w:pPr>
    </w:p>
    <w:p w14:paraId="7C101E2A" w14:textId="5C6BA6F0" w:rsidR="00AF7742" w:rsidRDefault="002029F1" w:rsidP="00060165">
      <w:pPr>
        <w:widowControl/>
        <w:autoSpaceDE/>
        <w:autoSpaceDN/>
        <w:adjustRightInd/>
        <w:spacing w:before="0" w:after="0" w:line="240" w:lineRule="auto"/>
        <w:jc w:val="left"/>
        <w:rPr>
          <w:rFonts w:eastAsia="Calibri"/>
          <w:lang w:val="pl-PL"/>
        </w:rPr>
      </w:pPr>
      <w:r w:rsidRPr="00060165">
        <w:rPr>
          <w:rFonts w:eastAsia="Calibri"/>
          <w:b/>
          <w:lang w:val="pl-PL"/>
        </w:rPr>
        <w:t>Defragmentacja opieki utrudnia osiąganie optymalnych wyników leczenia</w:t>
      </w:r>
    </w:p>
    <w:p w14:paraId="1640637C" w14:textId="728627DF" w:rsidR="00D32D23" w:rsidRDefault="00DB0C89" w:rsidP="00060165">
      <w:pPr>
        <w:rPr>
          <w:rFonts w:eastAsia="Calibri"/>
          <w:lang w:val="pl-PL"/>
        </w:rPr>
      </w:pPr>
      <w:r>
        <w:rPr>
          <w:rFonts w:eastAsia="Calibri"/>
          <w:lang w:val="pl-PL"/>
        </w:rPr>
        <w:t>Organizacja opieki</w:t>
      </w:r>
      <w:r w:rsidR="00AF7742">
        <w:rPr>
          <w:rFonts w:eastAsia="Calibri"/>
          <w:lang w:val="pl-PL"/>
        </w:rPr>
        <w:t xml:space="preserve"> nad pacjentami z </w:t>
      </w:r>
      <w:proofErr w:type="spellStart"/>
      <w:r w:rsidR="00AF7742">
        <w:rPr>
          <w:rFonts w:eastAsia="Calibri"/>
          <w:lang w:val="pl-PL"/>
        </w:rPr>
        <w:t>PChN</w:t>
      </w:r>
      <w:proofErr w:type="spellEnd"/>
      <w:r w:rsidR="00AF7742">
        <w:rPr>
          <w:rFonts w:eastAsia="Calibri"/>
          <w:lang w:val="pl-PL"/>
        </w:rPr>
        <w:t xml:space="preserve"> ma charakter rozproszony. </w:t>
      </w:r>
      <w:r w:rsidR="009564B5">
        <w:rPr>
          <w:rFonts w:eastAsia="Calibri"/>
          <w:lang w:val="pl-PL"/>
        </w:rPr>
        <w:t>Pols</w:t>
      </w:r>
      <w:r w:rsidR="00AF7742">
        <w:rPr>
          <w:rFonts w:eastAsia="Calibri"/>
          <w:lang w:val="pl-PL"/>
        </w:rPr>
        <w:t>ki</w:t>
      </w:r>
      <w:r w:rsidR="009564B5">
        <w:rPr>
          <w:rFonts w:eastAsia="Calibri"/>
          <w:lang w:val="pl-PL"/>
        </w:rPr>
        <w:t xml:space="preserve"> </w:t>
      </w:r>
      <w:r w:rsidR="00282AA0">
        <w:rPr>
          <w:rFonts w:eastAsia="Calibri"/>
          <w:lang w:val="pl-PL"/>
        </w:rPr>
        <w:t>system wymaga</w:t>
      </w:r>
      <w:r>
        <w:rPr>
          <w:rFonts w:eastAsia="Calibri"/>
          <w:lang w:val="pl-PL"/>
        </w:rPr>
        <w:t xml:space="preserve"> od pacjentów z </w:t>
      </w:r>
      <w:proofErr w:type="spellStart"/>
      <w:r>
        <w:rPr>
          <w:rFonts w:eastAsia="Calibri"/>
          <w:lang w:val="pl-PL"/>
        </w:rPr>
        <w:t>PChN</w:t>
      </w:r>
      <w:proofErr w:type="spellEnd"/>
      <w:r w:rsidR="00282AA0">
        <w:rPr>
          <w:rFonts w:eastAsia="Calibri"/>
          <w:lang w:val="pl-PL"/>
        </w:rPr>
        <w:t xml:space="preserve"> korzystania ze świadczeń realizowanych na wszystkich </w:t>
      </w:r>
      <w:r w:rsidR="009564B5">
        <w:rPr>
          <w:rFonts w:eastAsia="Calibri"/>
          <w:lang w:val="pl-PL"/>
        </w:rPr>
        <w:t>pozio</w:t>
      </w:r>
      <w:r w:rsidR="00282AA0">
        <w:rPr>
          <w:rFonts w:eastAsia="Calibri"/>
          <w:lang w:val="pl-PL"/>
        </w:rPr>
        <w:t>mach</w:t>
      </w:r>
      <w:r w:rsidR="009564B5">
        <w:rPr>
          <w:rFonts w:eastAsia="Calibri"/>
          <w:lang w:val="pl-PL"/>
        </w:rPr>
        <w:t xml:space="preserve"> opieki</w:t>
      </w:r>
      <w:r w:rsidR="00282AA0">
        <w:rPr>
          <w:rFonts w:eastAsia="Calibri"/>
          <w:lang w:val="pl-PL"/>
        </w:rPr>
        <w:t xml:space="preserve"> (opieka </w:t>
      </w:r>
      <w:r w:rsidR="009564B5">
        <w:rPr>
          <w:rFonts w:eastAsia="Calibri"/>
          <w:lang w:val="pl-PL"/>
        </w:rPr>
        <w:t>podstawow</w:t>
      </w:r>
      <w:r w:rsidR="00282AA0">
        <w:rPr>
          <w:rFonts w:eastAsia="Calibri"/>
          <w:lang w:val="pl-PL"/>
        </w:rPr>
        <w:t>a</w:t>
      </w:r>
      <w:r w:rsidR="009564B5">
        <w:rPr>
          <w:rFonts w:eastAsia="Calibri"/>
          <w:lang w:val="pl-PL"/>
        </w:rPr>
        <w:t>, specjalistyczn</w:t>
      </w:r>
      <w:r w:rsidR="00282AA0">
        <w:rPr>
          <w:rFonts w:eastAsia="Calibri"/>
          <w:lang w:val="pl-PL"/>
        </w:rPr>
        <w:t>a</w:t>
      </w:r>
      <w:r w:rsidR="009564B5">
        <w:rPr>
          <w:rFonts w:eastAsia="Calibri"/>
          <w:lang w:val="pl-PL"/>
        </w:rPr>
        <w:t xml:space="preserve"> i wysokospecjalistyczn</w:t>
      </w:r>
      <w:r w:rsidR="00282AA0">
        <w:rPr>
          <w:rFonts w:eastAsia="Calibri"/>
          <w:lang w:val="pl-PL"/>
        </w:rPr>
        <w:t>a</w:t>
      </w:r>
      <w:r w:rsidR="009564B5">
        <w:rPr>
          <w:rFonts w:eastAsia="Calibri"/>
          <w:lang w:val="pl-PL"/>
        </w:rPr>
        <w:t>, w trybie ambulatoryjnym i stacjonarnym</w:t>
      </w:r>
      <w:r w:rsidR="00282AA0">
        <w:rPr>
          <w:rFonts w:eastAsia="Calibri"/>
          <w:lang w:val="pl-PL"/>
        </w:rPr>
        <w:t>)</w:t>
      </w:r>
      <w:r w:rsidR="009564B5">
        <w:rPr>
          <w:rFonts w:eastAsia="Calibri"/>
          <w:lang w:val="pl-PL"/>
        </w:rPr>
        <w:t xml:space="preserve">. </w:t>
      </w:r>
      <w:r w:rsidR="00282AA0">
        <w:rPr>
          <w:rFonts w:eastAsia="Calibri"/>
          <w:lang w:val="pl-PL"/>
        </w:rPr>
        <w:t>N</w:t>
      </w:r>
      <w:r w:rsidR="009564B5">
        <w:rPr>
          <w:lang w:val="pl-PL"/>
        </w:rPr>
        <w:t xml:space="preserve">ie funkcjonują </w:t>
      </w:r>
      <w:r w:rsidR="009564B5" w:rsidRPr="00962365">
        <w:rPr>
          <w:rFonts w:eastAsia="Calibri"/>
          <w:lang w:val="pl-PL"/>
        </w:rPr>
        <w:t>zespoł</w:t>
      </w:r>
      <w:r w:rsidR="009564B5">
        <w:rPr>
          <w:rFonts w:eastAsia="Calibri"/>
          <w:lang w:val="pl-PL"/>
        </w:rPr>
        <w:t xml:space="preserve">y dedykowane koordynacji opieki. </w:t>
      </w:r>
      <w:r w:rsidR="00282AA0">
        <w:rPr>
          <w:rFonts w:eastAsia="Calibri"/>
          <w:lang w:val="pl-PL"/>
        </w:rPr>
        <w:t xml:space="preserve">Trudno jest zatem przypisać odpowiedzialność za pacjenta i wyniki leczenia jednemu podmiotowi. </w:t>
      </w:r>
      <w:r w:rsidR="00D32D23">
        <w:rPr>
          <w:rFonts w:eastAsia="Calibri"/>
          <w:lang w:val="pl-PL"/>
        </w:rPr>
        <w:t>Fragmentaryczna r</w:t>
      </w:r>
      <w:r w:rsidR="00282AA0">
        <w:rPr>
          <w:rFonts w:eastAsia="Calibri"/>
          <w:lang w:val="pl-PL"/>
        </w:rPr>
        <w:t xml:space="preserve">ealizacja </w:t>
      </w:r>
      <w:r>
        <w:rPr>
          <w:rFonts w:eastAsia="Calibri"/>
          <w:lang w:val="pl-PL"/>
        </w:rPr>
        <w:t>opieki</w:t>
      </w:r>
      <w:r w:rsidR="00D32D23">
        <w:rPr>
          <w:rFonts w:eastAsia="Calibri"/>
          <w:lang w:val="pl-PL"/>
        </w:rPr>
        <w:t xml:space="preserve"> rozkłada odpowiedzialność za całość leczenia</w:t>
      </w:r>
      <w:r>
        <w:rPr>
          <w:rFonts w:eastAsia="Calibri"/>
          <w:lang w:val="pl-PL"/>
        </w:rPr>
        <w:t>, ponieważ p</w:t>
      </w:r>
      <w:r w:rsidR="00D32D23">
        <w:rPr>
          <w:rFonts w:eastAsia="Calibri"/>
          <w:lang w:val="pl-PL"/>
        </w:rPr>
        <w:t>odmioty zaangażowane w leczenie realizują jego</w:t>
      </w:r>
      <w:r>
        <w:rPr>
          <w:rFonts w:eastAsia="Calibri"/>
          <w:lang w:val="pl-PL"/>
        </w:rPr>
        <w:t xml:space="preserve"> określony</w:t>
      </w:r>
      <w:r w:rsidR="00D32D23">
        <w:rPr>
          <w:rFonts w:eastAsia="Calibri"/>
          <w:lang w:val="pl-PL"/>
        </w:rPr>
        <w:t xml:space="preserve"> wycinek</w:t>
      </w:r>
      <w:r>
        <w:rPr>
          <w:rFonts w:eastAsia="Calibri"/>
          <w:lang w:val="pl-PL"/>
        </w:rPr>
        <w:t>. U</w:t>
      </w:r>
      <w:r w:rsidR="00D32D23">
        <w:rPr>
          <w:rFonts w:eastAsia="Calibri"/>
          <w:lang w:val="pl-PL"/>
        </w:rPr>
        <w:t>trudni</w:t>
      </w:r>
      <w:r>
        <w:rPr>
          <w:rFonts w:eastAsia="Calibri"/>
          <w:lang w:val="pl-PL"/>
        </w:rPr>
        <w:t xml:space="preserve">a to </w:t>
      </w:r>
      <w:r w:rsidR="00D32D23">
        <w:rPr>
          <w:rFonts w:eastAsia="Calibri"/>
          <w:lang w:val="pl-PL"/>
        </w:rPr>
        <w:t xml:space="preserve">osiąganie optymalnych wyników terapeutycznych. </w:t>
      </w:r>
    </w:p>
    <w:p w14:paraId="07F4B20A" w14:textId="12C61B96" w:rsidR="003F4048" w:rsidRPr="00060165" w:rsidRDefault="00D32D23" w:rsidP="00060165">
      <w:pPr>
        <w:rPr>
          <w:rFonts w:eastAsia="Calibri"/>
          <w:i/>
          <w:lang w:val="pl-PL"/>
        </w:rPr>
      </w:pPr>
      <w:r>
        <w:rPr>
          <w:rFonts w:eastAsia="Calibri"/>
          <w:lang w:val="pl-PL"/>
        </w:rPr>
        <w:t xml:space="preserve">Pacjent obciążony </w:t>
      </w:r>
      <w:proofErr w:type="spellStart"/>
      <w:r>
        <w:rPr>
          <w:rFonts w:eastAsia="Calibri"/>
          <w:lang w:val="pl-PL"/>
        </w:rPr>
        <w:t>PChN</w:t>
      </w:r>
      <w:proofErr w:type="spellEnd"/>
      <w:r>
        <w:rPr>
          <w:rFonts w:eastAsia="Calibri"/>
          <w:lang w:val="pl-PL"/>
        </w:rPr>
        <w:t xml:space="preserve"> jest niejednokrotnie zmuszony do </w:t>
      </w:r>
      <w:r w:rsidR="002029F1">
        <w:rPr>
          <w:rFonts w:eastAsia="Calibri"/>
          <w:lang w:val="pl-PL"/>
        </w:rPr>
        <w:t xml:space="preserve">samodzielnego koordynowania swojego leczenia. </w:t>
      </w:r>
      <w:r w:rsidR="002029F1" w:rsidRPr="00060165">
        <w:rPr>
          <w:rFonts w:eastAsia="Calibri"/>
          <w:lang w:val="pl-PL"/>
        </w:rPr>
        <w:t>Jest to m.in. wynikiem braku regulacji dotyczących zasad współpracy pomiędzy poszczególnymi świadczeniodawcami</w:t>
      </w:r>
      <w:r w:rsidR="00AF7742">
        <w:rPr>
          <w:rFonts w:eastAsia="Calibri"/>
          <w:lang w:val="pl-PL"/>
        </w:rPr>
        <w:t>.</w:t>
      </w:r>
      <w:r w:rsidR="002029F1" w:rsidRPr="00060165">
        <w:rPr>
          <w:rFonts w:eastAsia="Calibri"/>
          <w:lang w:val="pl-PL"/>
        </w:rPr>
        <w:t xml:space="preserve"> </w:t>
      </w:r>
    </w:p>
    <w:p w14:paraId="5EDCF6DF" w14:textId="77777777" w:rsidR="003F4048" w:rsidRPr="004E62AC" w:rsidRDefault="003F4048" w:rsidP="00060165">
      <w:pPr>
        <w:pStyle w:val="Legenda"/>
        <w:keepNext/>
        <w:rPr>
          <w:lang w:val="pl-PL"/>
        </w:rPr>
      </w:pPr>
      <w:bookmarkStart w:id="2" w:name="_Toc486537957"/>
      <w:r w:rsidRPr="004E62AC">
        <w:rPr>
          <w:b/>
          <w:i w:val="0"/>
          <w:color w:val="auto"/>
          <w:lang w:val="pl-PL"/>
        </w:rPr>
        <w:t xml:space="preserve">Rysunek </w:t>
      </w:r>
      <w:r w:rsidRPr="004E62AC">
        <w:rPr>
          <w:b/>
          <w:i w:val="0"/>
          <w:color w:val="auto"/>
          <w:lang w:val="pl-PL"/>
        </w:rPr>
        <w:fldChar w:fldCharType="begin"/>
      </w:r>
      <w:r w:rsidRPr="004E62AC">
        <w:rPr>
          <w:b/>
          <w:i w:val="0"/>
          <w:color w:val="auto"/>
          <w:lang w:val="pl-PL"/>
        </w:rPr>
        <w:instrText xml:space="preserve"> SEQ Rysunek \* ARABIC </w:instrText>
      </w:r>
      <w:r w:rsidRPr="004E62AC">
        <w:rPr>
          <w:b/>
          <w:i w:val="0"/>
          <w:color w:val="auto"/>
          <w:lang w:val="pl-PL"/>
        </w:rPr>
        <w:fldChar w:fldCharType="separate"/>
      </w:r>
      <w:r w:rsidR="005C7285">
        <w:rPr>
          <w:b/>
          <w:i w:val="0"/>
          <w:noProof/>
          <w:color w:val="auto"/>
          <w:lang w:val="pl-PL"/>
        </w:rPr>
        <w:t>1</w:t>
      </w:r>
      <w:r w:rsidRPr="004E62AC">
        <w:rPr>
          <w:b/>
          <w:i w:val="0"/>
          <w:color w:val="auto"/>
          <w:lang w:val="pl-PL"/>
        </w:rPr>
        <w:fldChar w:fldCharType="end"/>
      </w:r>
      <w:r w:rsidRPr="004E62AC">
        <w:rPr>
          <w:b/>
          <w:i w:val="0"/>
          <w:color w:val="auto"/>
          <w:lang w:val="pl-PL"/>
        </w:rPr>
        <w:t xml:space="preserve"> </w:t>
      </w:r>
      <w:r>
        <w:rPr>
          <w:b/>
          <w:i w:val="0"/>
          <w:color w:val="auto"/>
          <w:lang w:val="pl-PL"/>
        </w:rPr>
        <w:t xml:space="preserve">Schemat aktualnego modelu opieki nad pacjentem z </w:t>
      </w:r>
      <w:proofErr w:type="spellStart"/>
      <w:r>
        <w:rPr>
          <w:b/>
          <w:i w:val="0"/>
          <w:color w:val="auto"/>
          <w:lang w:val="pl-PL"/>
        </w:rPr>
        <w:t>PChN</w:t>
      </w:r>
      <w:proofErr w:type="spellEnd"/>
      <w:r>
        <w:rPr>
          <w:b/>
          <w:i w:val="0"/>
          <w:color w:val="auto"/>
          <w:lang w:val="pl-PL"/>
        </w:rPr>
        <w:t xml:space="preserve"> – rozproszenie i defragmentacja świadczeń</w:t>
      </w:r>
      <w:bookmarkEnd w:id="2"/>
    </w:p>
    <w:p w14:paraId="5DF7A459" w14:textId="77777777" w:rsidR="003F4048" w:rsidRPr="003F4048" w:rsidRDefault="003F4048" w:rsidP="00060165">
      <w:pPr>
        <w:pStyle w:val="Akapitzlist"/>
        <w:ind w:left="288"/>
        <w:rPr>
          <w:rFonts w:eastAsia="Calibri"/>
          <w:lang w:val="pl-PL"/>
        </w:rPr>
      </w:pPr>
      <w:r>
        <w:rPr>
          <w:rFonts w:eastAsia="Calibri"/>
          <w:noProof/>
          <w:lang w:val="pl-PL" w:eastAsia="pl-PL"/>
        </w:rPr>
        <w:drawing>
          <wp:inline distT="0" distB="0" distL="0" distR="0" wp14:anchorId="36D6DA71" wp14:editId="2C9729A9">
            <wp:extent cx="4838400" cy="3618000"/>
            <wp:effectExtent l="0" t="0" r="635"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400" cy="3618000"/>
                    </a:xfrm>
                    <a:prstGeom prst="rect">
                      <a:avLst/>
                    </a:prstGeom>
                    <a:noFill/>
                  </pic:spPr>
                </pic:pic>
              </a:graphicData>
            </a:graphic>
          </wp:inline>
        </w:drawing>
      </w:r>
    </w:p>
    <w:p w14:paraId="7C31A882" w14:textId="77777777" w:rsidR="003F4048" w:rsidRDefault="003F4048" w:rsidP="00060165">
      <w:pPr>
        <w:pStyle w:val="Akapitzlist"/>
        <w:spacing w:before="0" w:after="0" w:line="240" w:lineRule="auto"/>
        <w:ind w:left="288"/>
        <w:rPr>
          <w:rFonts w:eastAsia="Calibri"/>
          <w:sz w:val="18"/>
          <w:lang w:val="pl-PL"/>
        </w:rPr>
      </w:pPr>
      <w:r w:rsidRPr="003F4048">
        <w:rPr>
          <w:rFonts w:eastAsia="Calibri"/>
          <w:sz w:val="18"/>
          <w:lang w:val="pl-PL"/>
        </w:rPr>
        <w:t>Źródło: Opracowanie własne EY</w:t>
      </w:r>
    </w:p>
    <w:p w14:paraId="5E29E2F5" w14:textId="77777777" w:rsidR="003F4048" w:rsidRDefault="003F4048" w:rsidP="00060165">
      <w:pPr>
        <w:spacing w:before="0" w:after="0" w:line="240" w:lineRule="auto"/>
        <w:rPr>
          <w:rFonts w:eastAsia="Calibri"/>
          <w:color w:val="000000" w:themeColor="text1"/>
          <w:lang w:val="pl-PL"/>
        </w:rPr>
      </w:pPr>
    </w:p>
    <w:p w14:paraId="5062E1D0" w14:textId="551D06C8" w:rsidR="002029F1" w:rsidRPr="00060165" w:rsidRDefault="00AF7742" w:rsidP="00060165">
      <w:pPr>
        <w:widowControl/>
        <w:autoSpaceDE/>
        <w:autoSpaceDN/>
        <w:adjustRightInd/>
        <w:spacing w:before="0" w:after="0" w:line="240" w:lineRule="auto"/>
        <w:jc w:val="left"/>
        <w:rPr>
          <w:rFonts w:eastAsia="Calibri"/>
          <w:b/>
          <w:color w:val="000000" w:themeColor="text1"/>
          <w:lang w:val="pl-PL"/>
        </w:rPr>
      </w:pPr>
      <w:r>
        <w:rPr>
          <w:rFonts w:eastAsia="Calibri"/>
          <w:b/>
          <w:color w:val="000000" w:themeColor="text1"/>
          <w:lang w:val="pl-PL"/>
        </w:rPr>
        <w:br w:type="page"/>
      </w:r>
      <w:r w:rsidR="002029F1" w:rsidRPr="00060165">
        <w:rPr>
          <w:rFonts w:eastAsia="Calibri"/>
          <w:b/>
          <w:color w:val="000000" w:themeColor="text1"/>
          <w:lang w:val="pl-PL"/>
        </w:rPr>
        <w:lastRenderedPageBreak/>
        <w:t xml:space="preserve">Koordynacja opieki jako </w:t>
      </w:r>
      <w:r>
        <w:rPr>
          <w:rFonts w:eastAsia="Calibri"/>
          <w:b/>
          <w:color w:val="000000" w:themeColor="text1"/>
          <w:lang w:val="pl-PL"/>
        </w:rPr>
        <w:t xml:space="preserve">szansa na poprawę zdrowia populacji z </w:t>
      </w:r>
      <w:proofErr w:type="spellStart"/>
      <w:r>
        <w:rPr>
          <w:rFonts w:eastAsia="Calibri"/>
          <w:b/>
          <w:color w:val="000000" w:themeColor="text1"/>
          <w:lang w:val="pl-PL"/>
        </w:rPr>
        <w:t>PChN</w:t>
      </w:r>
      <w:proofErr w:type="spellEnd"/>
    </w:p>
    <w:p w14:paraId="062550A0" w14:textId="77777777" w:rsidR="00B316B3" w:rsidRDefault="00B316B3" w:rsidP="009564B5">
      <w:pPr>
        <w:rPr>
          <w:rFonts w:eastAsia="Calibri"/>
          <w:color w:val="000000" w:themeColor="text1"/>
          <w:lang w:val="pl-PL"/>
        </w:rPr>
      </w:pPr>
    </w:p>
    <w:p w14:paraId="5E000EAF" w14:textId="136A7346" w:rsidR="00341FDC" w:rsidRDefault="000551E7" w:rsidP="009564B5">
      <w:pPr>
        <w:rPr>
          <w:rFonts w:eastAsia="Calibri"/>
          <w:color w:val="000000" w:themeColor="text1"/>
          <w:lang w:val="pl-PL"/>
        </w:rPr>
      </w:pPr>
      <w:r>
        <w:rPr>
          <w:rFonts w:eastAsia="Calibri"/>
          <w:color w:val="000000" w:themeColor="text1"/>
          <w:lang w:val="pl-PL"/>
        </w:rPr>
        <w:t xml:space="preserve">Opieka zdrowotna powinna być zorientowana na rezultat. Taki trend </w:t>
      </w:r>
      <w:r w:rsidR="002E4262">
        <w:rPr>
          <w:rFonts w:eastAsia="Calibri"/>
          <w:color w:val="000000" w:themeColor="text1"/>
          <w:lang w:val="pl-PL"/>
        </w:rPr>
        <w:t>jest obserwowany</w:t>
      </w:r>
      <w:r>
        <w:rPr>
          <w:rFonts w:eastAsia="Calibri"/>
          <w:color w:val="000000" w:themeColor="text1"/>
          <w:lang w:val="pl-PL"/>
        </w:rPr>
        <w:t xml:space="preserve"> w systemach opieki zdrowotnej w wielu krajach. Również w Polsce trwają prace nad opracowaniem modelu opieki koordynowanej. </w:t>
      </w:r>
      <w:r w:rsidR="00341FDC" w:rsidRPr="00341FDC">
        <w:rPr>
          <w:rFonts w:eastAsia="Calibri"/>
          <w:color w:val="000000" w:themeColor="text1"/>
          <w:lang w:val="pl-PL"/>
        </w:rPr>
        <w:t xml:space="preserve">Głównym </w:t>
      </w:r>
      <w:r w:rsidR="00F75992">
        <w:rPr>
          <w:rFonts w:eastAsia="Calibri"/>
          <w:color w:val="000000" w:themeColor="text1"/>
          <w:lang w:val="pl-PL"/>
        </w:rPr>
        <w:t xml:space="preserve">jej </w:t>
      </w:r>
      <w:r w:rsidR="00341FDC" w:rsidRPr="00341FDC">
        <w:rPr>
          <w:rFonts w:eastAsia="Calibri"/>
          <w:color w:val="000000" w:themeColor="text1"/>
          <w:lang w:val="pl-PL"/>
        </w:rPr>
        <w:t xml:space="preserve">założeniem jest optymalizacja procesu udzielania świadczeń zdrowotnych. Narodowy Fundusz Zdrowia we współpracy z Bankiem </w:t>
      </w:r>
      <w:r>
        <w:rPr>
          <w:rFonts w:eastAsia="Calibri"/>
          <w:color w:val="000000" w:themeColor="text1"/>
          <w:lang w:val="pl-PL"/>
        </w:rPr>
        <w:t>Światowym realizuje projekt „</w:t>
      </w:r>
      <w:r w:rsidR="00341FDC" w:rsidRPr="00341FDC">
        <w:rPr>
          <w:rFonts w:eastAsia="Calibri"/>
          <w:color w:val="000000" w:themeColor="text1"/>
          <w:lang w:val="pl-PL"/>
        </w:rPr>
        <w:t>Przygotowanie, przetestowanie i wdrożenie do systemu opieki zdrowotnej organizacji opieki koordynowanej (OOK) – Etap I Opracowanie modeli zintegrowanej/koordynowanej opieki zdrowotnej dla Polski</w:t>
      </w:r>
      <w:r>
        <w:rPr>
          <w:rFonts w:eastAsia="Calibri"/>
          <w:color w:val="000000" w:themeColor="text1"/>
          <w:lang w:val="pl-PL"/>
        </w:rPr>
        <w:t>”</w:t>
      </w:r>
      <w:r w:rsidR="00341FDC">
        <w:rPr>
          <w:rStyle w:val="Odwoanieprzypisudolnego"/>
          <w:rFonts w:eastAsia="Calibri"/>
          <w:color w:val="000000" w:themeColor="text1"/>
          <w:lang w:val="pl-PL"/>
        </w:rPr>
        <w:footnoteReference w:id="5"/>
      </w:r>
      <w:r w:rsidR="00341FDC" w:rsidRPr="00341FDC">
        <w:rPr>
          <w:rFonts w:eastAsia="Calibri"/>
          <w:color w:val="000000" w:themeColor="text1"/>
          <w:lang w:val="pl-PL"/>
        </w:rPr>
        <w:t xml:space="preserve">.  </w:t>
      </w:r>
    </w:p>
    <w:p w14:paraId="3416490B" w14:textId="1A9E2CDA" w:rsidR="000E787A" w:rsidRPr="000E787A" w:rsidRDefault="000551E7" w:rsidP="000E787A">
      <w:pPr>
        <w:rPr>
          <w:rFonts w:eastAsia="Calibri"/>
          <w:color w:val="000000" w:themeColor="text1"/>
          <w:lang w:val="pl-PL"/>
        </w:rPr>
      </w:pPr>
      <w:r>
        <w:rPr>
          <w:rFonts w:eastAsia="Calibri"/>
          <w:color w:val="000000" w:themeColor="text1"/>
          <w:lang w:val="pl-PL"/>
        </w:rPr>
        <w:t>Podążając za tym trendem opracowano koncepcję</w:t>
      </w:r>
      <w:r w:rsidR="00341FDC">
        <w:rPr>
          <w:rFonts w:eastAsia="Calibri"/>
          <w:color w:val="000000" w:themeColor="text1"/>
          <w:lang w:val="pl-PL"/>
        </w:rPr>
        <w:t xml:space="preserve"> opieki koo</w:t>
      </w:r>
      <w:r>
        <w:rPr>
          <w:rFonts w:eastAsia="Calibri"/>
          <w:color w:val="000000" w:themeColor="text1"/>
          <w:lang w:val="pl-PL"/>
        </w:rPr>
        <w:t xml:space="preserve">rdynowanej nad pacjentem w zaawansowanym stadium przewlekłej choroby nerek. </w:t>
      </w:r>
      <w:r w:rsidR="00261290">
        <w:rPr>
          <w:rFonts w:eastAsia="Calibri"/>
          <w:color w:val="000000" w:themeColor="text1"/>
          <w:lang w:val="pl-PL"/>
        </w:rPr>
        <w:t>Głównym</w:t>
      </w:r>
      <w:r w:rsidR="00261290" w:rsidRPr="000E787A">
        <w:rPr>
          <w:rFonts w:eastAsia="Calibri"/>
          <w:color w:val="000000" w:themeColor="text1"/>
          <w:lang w:val="pl-PL"/>
        </w:rPr>
        <w:t xml:space="preserve"> </w:t>
      </w:r>
      <w:r w:rsidR="000E787A" w:rsidRPr="000E787A">
        <w:rPr>
          <w:rFonts w:eastAsia="Calibri"/>
          <w:color w:val="000000" w:themeColor="text1"/>
          <w:lang w:val="pl-PL"/>
        </w:rPr>
        <w:t xml:space="preserve">celem </w:t>
      </w:r>
      <w:r w:rsidR="00F75992">
        <w:rPr>
          <w:rFonts w:eastAsia="Calibri"/>
          <w:color w:val="000000" w:themeColor="text1"/>
          <w:lang w:val="pl-PL"/>
        </w:rPr>
        <w:t xml:space="preserve">koncepcji </w:t>
      </w:r>
      <w:r w:rsidR="00261290">
        <w:rPr>
          <w:rFonts w:eastAsia="Calibri"/>
          <w:color w:val="000000" w:themeColor="text1"/>
          <w:lang w:val="pl-PL"/>
        </w:rPr>
        <w:t xml:space="preserve">jest </w:t>
      </w:r>
      <w:r w:rsidR="000E787A" w:rsidRPr="000E787A">
        <w:rPr>
          <w:rFonts w:eastAsia="Calibri"/>
          <w:color w:val="000000" w:themeColor="text1"/>
          <w:lang w:val="pl-PL"/>
        </w:rPr>
        <w:t>poprawa jako</w:t>
      </w:r>
      <w:r w:rsidR="000E787A" w:rsidRPr="000E787A">
        <w:rPr>
          <w:rFonts w:eastAsia="Calibri" w:cs="EYInterstate Light"/>
          <w:color w:val="000000" w:themeColor="text1"/>
          <w:lang w:val="pl-PL"/>
        </w:rPr>
        <w:t>ś</w:t>
      </w:r>
      <w:r w:rsidR="000E787A" w:rsidRPr="000E787A">
        <w:rPr>
          <w:rFonts w:eastAsia="Calibri"/>
          <w:color w:val="000000" w:themeColor="text1"/>
          <w:lang w:val="pl-PL"/>
        </w:rPr>
        <w:t>ci opieki i wynik</w:t>
      </w:r>
      <w:r w:rsidR="000E787A" w:rsidRPr="000E787A">
        <w:rPr>
          <w:rFonts w:eastAsia="Calibri" w:cs="EYInterstate Light"/>
          <w:color w:val="000000" w:themeColor="text1"/>
          <w:lang w:val="pl-PL"/>
        </w:rPr>
        <w:t>ó</w:t>
      </w:r>
      <w:r>
        <w:rPr>
          <w:rFonts w:eastAsia="Calibri"/>
          <w:color w:val="000000" w:themeColor="text1"/>
          <w:lang w:val="pl-PL"/>
        </w:rPr>
        <w:t xml:space="preserve">w leczenia oraz </w:t>
      </w:r>
      <w:r w:rsidR="000E787A" w:rsidRPr="000E787A">
        <w:rPr>
          <w:rFonts w:eastAsia="Calibri"/>
          <w:color w:val="000000" w:themeColor="text1"/>
          <w:lang w:val="pl-PL"/>
        </w:rPr>
        <w:t>poprawa dost</w:t>
      </w:r>
      <w:r w:rsidR="000E787A" w:rsidRPr="000E787A">
        <w:rPr>
          <w:rFonts w:eastAsia="Calibri" w:cs="EYInterstate Light"/>
          <w:color w:val="000000" w:themeColor="text1"/>
          <w:lang w:val="pl-PL"/>
        </w:rPr>
        <w:t>ę</w:t>
      </w:r>
      <w:r w:rsidR="000E787A" w:rsidRPr="000E787A">
        <w:rPr>
          <w:rFonts w:eastAsia="Calibri"/>
          <w:color w:val="000000" w:themeColor="text1"/>
          <w:lang w:val="pl-PL"/>
        </w:rPr>
        <w:t>pno</w:t>
      </w:r>
      <w:r w:rsidR="000E787A" w:rsidRPr="000E787A">
        <w:rPr>
          <w:rFonts w:eastAsia="Calibri" w:cs="EYInterstate Light"/>
          <w:color w:val="000000" w:themeColor="text1"/>
          <w:lang w:val="pl-PL"/>
        </w:rPr>
        <w:t>ś</w:t>
      </w:r>
      <w:r w:rsidR="000E787A" w:rsidRPr="000E787A">
        <w:rPr>
          <w:rFonts w:eastAsia="Calibri"/>
          <w:color w:val="000000" w:themeColor="text1"/>
          <w:lang w:val="pl-PL"/>
        </w:rPr>
        <w:t xml:space="preserve">ci </w:t>
      </w:r>
      <w:r w:rsidR="000E787A" w:rsidRPr="000E787A">
        <w:rPr>
          <w:rFonts w:eastAsia="Calibri" w:cs="EYInterstate Light"/>
          <w:color w:val="000000" w:themeColor="text1"/>
          <w:lang w:val="pl-PL"/>
        </w:rPr>
        <w:t>ś</w:t>
      </w:r>
      <w:r w:rsidR="000E787A" w:rsidRPr="000E787A">
        <w:rPr>
          <w:rFonts w:eastAsia="Calibri"/>
          <w:color w:val="000000" w:themeColor="text1"/>
          <w:lang w:val="pl-PL"/>
        </w:rPr>
        <w:t>wiadcze</w:t>
      </w:r>
      <w:r w:rsidR="000E787A" w:rsidRPr="000E787A">
        <w:rPr>
          <w:rFonts w:eastAsia="Calibri" w:cs="EYInterstate Light"/>
          <w:color w:val="000000" w:themeColor="text1"/>
          <w:lang w:val="pl-PL"/>
        </w:rPr>
        <w:t>ń</w:t>
      </w:r>
      <w:r w:rsidR="000E787A" w:rsidRPr="000E787A">
        <w:rPr>
          <w:rFonts w:eastAsia="Calibri"/>
          <w:color w:val="000000" w:themeColor="text1"/>
          <w:lang w:val="pl-PL"/>
        </w:rPr>
        <w:t xml:space="preserve"> niezb</w:t>
      </w:r>
      <w:r w:rsidR="000E787A" w:rsidRPr="000E787A">
        <w:rPr>
          <w:rFonts w:eastAsia="Calibri" w:cs="EYInterstate Light"/>
          <w:color w:val="000000" w:themeColor="text1"/>
          <w:lang w:val="pl-PL"/>
        </w:rPr>
        <w:t>ę</w:t>
      </w:r>
      <w:r w:rsidR="000E787A" w:rsidRPr="000E787A">
        <w:rPr>
          <w:rFonts w:eastAsia="Calibri"/>
          <w:color w:val="000000" w:themeColor="text1"/>
          <w:lang w:val="pl-PL"/>
        </w:rPr>
        <w:t>dnych do zmniejszenia liczby powik</w:t>
      </w:r>
      <w:r w:rsidR="000E787A" w:rsidRPr="000E787A">
        <w:rPr>
          <w:rFonts w:eastAsia="Calibri" w:cs="EYInterstate Light"/>
          <w:color w:val="000000" w:themeColor="text1"/>
          <w:lang w:val="pl-PL"/>
        </w:rPr>
        <w:t>ł</w:t>
      </w:r>
      <w:r w:rsidR="000E787A" w:rsidRPr="000E787A">
        <w:rPr>
          <w:rFonts w:eastAsia="Calibri"/>
          <w:color w:val="000000" w:themeColor="text1"/>
          <w:lang w:val="pl-PL"/>
        </w:rPr>
        <w:t>a</w:t>
      </w:r>
      <w:r w:rsidR="000E787A" w:rsidRPr="000E787A">
        <w:rPr>
          <w:rFonts w:eastAsia="Calibri" w:cs="EYInterstate Light"/>
          <w:color w:val="000000" w:themeColor="text1"/>
          <w:lang w:val="pl-PL"/>
        </w:rPr>
        <w:t>ń</w:t>
      </w:r>
      <w:r w:rsidR="000E787A" w:rsidRPr="000E787A">
        <w:rPr>
          <w:rFonts w:eastAsia="Calibri"/>
          <w:color w:val="000000" w:themeColor="text1"/>
          <w:lang w:val="pl-PL"/>
        </w:rPr>
        <w:t xml:space="preserve"> w zaawansowanych stadiach </w:t>
      </w:r>
      <w:proofErr w:type="spellStart"/>
      <w:r>
        <w:rPr>
          <w:rFonts w:eastAsia="Calibri"/>
          <w:color w:val="000000" w:themeColor="text1"/>
          <w:lang w:val="pl-PL"/>
        </w:rPr>
        <w:t>PChN</w:t>
      </w:r>
      <w:proofErr w:type="spellEnd"/>
      <w:r>
        <w:rPr>
          <w:rFonts w:eastAsia="Calibri"/>
          <w:color w:val="000000" w:themeColor="text1"/>
          <w:lang w:val="pl-PL"/>
        </w:rPr>
        <w:t>. Podstawowym założeniem jest reorganizacja</w:t>
      </w:r>
      <w:r w:rsidR="000E787A" w:rsidRPr="000E787A">
        <w:rPr>
          <w:rFonts w:eastAsia="Calibri"/>
          <w:color w:val="000000" w:themeColor="text1"/>
          <w:lang w:val="pl-PL"/>
        </w:rPr>
        <w:t xml:space="preserve"> opieki</w:t>
      </w:r>
      <w:r>
        <w:rPr>
          <w:rFonts w:eastAsia="Calibri"/>
          <w:color w:val="000000" w:themeColor="text1"/>
          <w:lang w:val="pl-PL"/>
        </w:rPr>
        <w:t xml:space="preserve">, skoncentrowanie procesów decyzyjnych i przepływów środków publicznych </w:t>
      </w:r>
      <w:r w:rsidR="000E787A" w:rsidRPr="000E787A">
        <w:rPr>
          <w:rFonts w:eastAsia="Calibri"/>
          <w:color w:val="000000" w:themeColor="text1"/>
          <w:lang w:val="pl-PL"/>
        </w:rPr>
        <w:t>w zakresie</w:t>
      </w:r>
      <w:r>
        <w:rPr>
          <w:rFonts w:eastAsia="Calibri"/>
          <w:color w:val="000000" w:themeColor="text1"/>
          <w:lang w:val="pl-PL"/>
        </w:rPr>
        <w:t>, który</w:t>
      </w:r>
      <w:r w:rsidR="000E787A" w:rsidRPr="000E787A">
        <w:rPr>
          <w:rFonts w:eastAsia="Calibri"/>
          <w:color w:val="000000" w:themeColor="text1"/>
          <w:lang w:val="pl-PL"/>
        </w:rPr>
        <w:t xml:space="preserve"> </w:t>
      </w:r>
      <w:r>
        <w:rPr>
          <w:rFonts w:eastAsia="Calibri"/>
          <w:color w:val="000000" w:themeColor="text1"/>
          <w:lang w:val="pl-PL"/>
        </w:rPr>
        <w:t>umożliwi koordynowanie opieki.</w:t>
      </w:r>
    </w:p>
    <w:p w14:paraId="770D6D0E" w14:textId="6D55CD3D" w:rsidR="004E5B34" w:rsidRDefault="000551E7" w:rsidP="009564B5">
      <w:pPr>
        <w:rPr>
          <w:rFonts w:eastAsia="Calibri"/>
          <w:color w:val="000000" w:themeColor="text1"/>
          <w:lang w:val="pl-PL"/>
        </w:rPr>
      </w:pPr>
      <w:r>
        <w:rPr>
          <w:rFonts w:eastAsia="Calibri"/>
          <w:color w:val="000000" w:themeColor="text1"/>
          <w:lang w:val="pl-PL"/>
        </w:rPr>
        <w:t>R</w:t>
      </w:r>
      <w:r w:rsidR="004E5B34">
        <w:rPr>
          <w:rFonts w:eastAsia="Calibri"/>
          <w:color w:val="000000" w:themeColor="text1"/>
          <w:lang w:val="pl-PL"/>
        </w:rPr>
        <w:t>eorganizację</w:t>
      </w:r>
      <w:r w:rsidR="000E787A" w:rsidRPr="000E787A">
        <w:rPr>
          <w:rFonts w:eastAsia="Calibri"/>
          <w:color w:val="000000" w:themeColor="text1"/>
          <w:lang w:val="pl-PL"/>
        </w:rPr>
        <w:t xml:space="preserve"> opieki </w:t>
      </w:r>
      <w:r w:rsidR="004E5B34">
        <w:rPr>
          <w:rFonts w:eastAsia="Calibri"/>
          <w:color w:val="000000" w:themeColor="text1"/>
          <w:lang w:val="pl-PL"/>
        </w:rPr>
        <w:t>oparto</w:t>
      </w:r>
      <w:r w:rsidR="000E787A" w:rsidRPr="000E787A">
        <w:rPr>
          <w:rFonts w:eastAsia="Calibri"/>
          <w:color w:val="000000" w:themeColor="text1"/>
          <w:lang w:val="pl-PL"/>
        </w:rPr>
        <w:t xml:space="preserve"> na scaleniu dotychczasowego zakresu odpowiedzialności poradni nefrologicznych i stacji dializ </w:t>
      </w:r>
      <w:r w:rsidR="00261290">
        <w:rPr>
          <w:rFonts w:eastAsia="Calibri"/>
          <w:color w:val="000000" w:themeColor="text1"/>
          <w:lang w:val="pl-PL"/>
        </w:rPr>
        <w:t xml:space="preserve">w obszarze opieki nad pacjentami w zaawansowanym stadium </w:t>
      </w:r>
      <w:proofErr w:type="spellStart"/>
      <w:r w:rsidR="00261290">
        <w:rPr>
          <w:rFonts w:eastAsia="Calibri"/>
          <w:color w:val="000000" w:themeColor="text1"/>
          <w:lang w:val="pl-PL"/>
        </w:rPr>
        <w:t>PChN</w:t>
      </w:r>
      <w:proofErr w:type="spellEnd"/>
      <w:r w:rsidR="00261290">
        <w:rPr>
          <w:rFonts w:eastAsia="Calibri"/>
          <w:color w:val="000000" w:themeColor="text1"/>
          <w:lang w:val="pl-PL"/>
        </w:rPr>
        <w:t xml:space="preserve"> </w:t>
      </w:r>
      <w:r w:rsidR="000E787A" w:rsidRPr="000E787A">
        <w:rPr>
          <w:rFonts w:eastAsia="Calibri"/>
          <w:color w:val="000000" w:themeColor="text1"/>
          <w:lang w:val="pl-PL"/>
        </w:rPr>
        <w:t xml:space="preserve">oraz uzupełnieniu </w:t>
      </w:r>
      <w:r w:rsidR="00EC2F48">
        <w:rPr>
          <w:rFonts w:eastAsia="Calibri"/>
          <w:color w:val="000000" w:themeColor="text1"/>
          <w:lang w:val="pl-PL"/>
        </w:rPr>
        <w:t xml:space="preserve">jej </w:t>
      </w:r>
      <w:r w:rsidR="000E787A" w:rsidRPr="000E787A">
        <w:rPr>
          <w:rFonts w:eastAsia="Calibri"/>
          <w:color w:val="000000" w:themeColor="text1"/>
          <w:lang w:val="pl-PL"/>
        </w:rPr>
        <w:t xml:space="preserve">o </w:t>
      </w:r>
      <w:r w:rsidR="004E5B34">
        <w:rPr>
          <w:rFonts w:eastAsia="Calibri"/>
          <w:color w:val="000000" w:themeColor="text1"/>
          <w:lang w:val="pl-PL"/>
        </w:rPr>
        <w:t xml:space="preserve">dodatkowy </w:t>
      </w:r>
      <w:r w:rsidR="000E787A" w:rsidRPr="000E787A">
        <w:rPr>
          <w:rFonts w:eastAsia="Calibri"/>
          <w:color w:val="000000" w:themeColor="text1"/>
          <w:lang w:val="pl-PL"/>
        </w:rPr>
        <w:t xml:space="preserve">zakres </w:t>
      </w:r>
      <w:r w:rsidR="004E5B34">
        <w:rPr>
          <w:rFonts w:eastAsia="Calibri"/>
          <w:color w:val="000000" w:themeColor="text1"/>
          <w:lang w:val="pl-PL"/>
        </w:rPr>
        <w:t xml:space="preserve">konieczny do przekazania odpowiedzialności za wyniki leczenia jednemu podmiotowi. </w:t>
      </w:r>
      <w:r w:rsidR="00F75992">
        <w:rPr>
          <w:rFonts w:eastAsia="Calibri"/>
          <w:color w:val="000000" w:themeColor="text1"/>
          <w:lang w:val="pl-PL"/>
        </w:rPr>
        <w:t>„Powołanie” j</w:t>
      </w:r>
      <w:r w:rsidR="004E5B34">
        <w:rPr>
          <w:rFonts w:eastAsia="Calibri"/>
          <w:color w:val="000000" w:themeColor="text1"/>
          <w:lang w:val="pl-PL"/>
        </w:rPr>
        <w:t>ednost</w:t>
      </w:r>
      <w:r w:rsidR="00F75992">
        <w:rPr>
          <w:rFonts w:eastAsia="Calibri"/>
          <w:color w:val="000000" w:themeColor="text1"/>
          <w:lang w:val="pl-PL"/>
        </w:rPr>
        <w:t>ek</w:t>
      </w:r>
      <w:r w:rsidR="004E5B34">
        <w:rPr>
          <w:rFonts w:eastAsia="Calibri"/>
          <w:color w:val="000000" w:themeColor="text1"/>
          <w:lang w:val="pl-PL"/>
        </w:rPr>
        <w:t xml:space="preserve"> koordynując</w:t>
      </w:r>
      <w:r w:rsidR="00F75992">
        <w:rPr>
          <w:rFonts w:eastAsia="Calibri"/>
          <w:color w:val="000000" w:themeColor="text1"/>
          <w:lang w:val="pl-PL"/>
        </w:rPr>
        <w:t xml:space="preserve">ych </w:t>
      </w:r>
      <w:r w:rsidR="004E5B34">
        <w:rPr>
          <w:rFonts w:eastAsia="Calibri"/>
          <w:color w:val="000000" w:themeColor="text1"/>
          <w:lang w:val="pl-PL"/>
        </w:rPr>
        <w:t>leczenie nie wymaga dodatkowych nakładów finansowych. Proponowany model zakłada wykorzystanie istniejącej sieci poradni nefrologicznych oraz stacji dializ, czyli miejsc, które są najbliżej pacjentów.</w:t>
      </w:r>
    </w:p>
    <w:p w14:paraId="0E06FFCA" w14:textId="3FDC87E4" w:rsidR="004201BC" w:rsidRDefault="00EC2F48" w:rsidP="002A6ECD">
      <w:pPr>
        <w:rPr>
          <w:rFonts w:eastAsia="Calibri"/>
          <w:color w:val="000000" w:themeColor="text1"/>
          <w:lang w:val="pl-PL"/>
        </w:rPr>
      </w:pPr>
      <w:r>
        <w:rPr>
          <w:rFonts w:eastAsia="Calibri"/>
          <w:color w:val="000000" w:themeColor="text1"/>
          <w:lang w:val="pl-PL"/>
        </w:rPr>
        <w:t>Przekazanie o</w:t>
      </w:r>
      <w:r w:rsidR="004201BC">
        <w:rPr>
          <w:rFonts w:eastAsia="Calibri"/>
          <w:color w:val="000000" w:themeColor="text1"/>
          <w:lang w:val="pl-PL"/>
        </w:rPr>
        <w:t>dpowiedzialnoś</w:t>
      </w:r>
      <w:r>
        <w:rPr>
          <w:rFonts w:eastAsia="Calibri"/>
          <w:color w:val="000000" w:themeColor="text1"/>
          <w:lang w:val="pl-PL"/>
        </w:rPr>
        <w:t>ci</w:t>
      </w:r>
      <w:r w:rsidR="004201BC">
        <w:rPr>
          <w:rFonts w:eastAsia="Calibri"/>
          <w:color w:val="000000" w:themeColor="text1"/>
          <w:lang w:val="pl-PL"/>
        </w:rPr>
        <w:t xml:space="preserve"> za pacjenta oznacza również zarządzanie budżetem leczenia. Dzięki temu możliwe jest </w:t>
      </w:r>
      <w:r>
        <w:rPr>
          <w:rFonts w:eastAsia="Calibri"/>
          <w:color w:val="000000" w:themeColor="text1"/>
          <w:lang w:val="pl-PL"/>
        </w:rPr>
        <w:t xml:space="preserve">powierzenie </w:t>
      </w:r>
      <w:r w:rsidR="004201BC">
        <w:rPr>
          <w:rFonts w:eastAsia="Calibri"/>
          <w:color w:val="000000" w:themeColor="text1"/>
          <w:lang w:val="pl-PL"/>
        </w:rPr>
        <w:t>odpowiedzialności za wyniki jednostkom koordynującym.</w:t>
      </w:r>
    </w:p>
    <w:p w14:paraId="4098F4A5" w14:textId="0F4712D2" w:rsidR="004201BC" w:rsidRDefault="004201BC" w:rsidP="002A6ECD">
      <w:pPr>
        <w:rPr>
          <w:rFonts w:eastAsia="Calibri"/>
          <w:color w:val="000000" w:themeColor="text1"/>
          <w:lang w:val="pl-PL"/>
        </w:rPr>
      </w:pPr>
      <w:r>
        <w:rPr>
          <w:rFonts w:eastAsia="Calibri"/>
          <w:color w:val="000000" w:themeColor="text1"/>
          <w:lang w:val="pl-PL"/>
        </w:rPr>
        <w:t>Przyjęto, że zakres odpowiedzialności jednostek koordynujących powinien uwzględniać</w:t>
      </w:r>
      <w:r w:rsidR="001419EA">
        <w:rPr>
          <w:rFonts w:eastAsia="Calibri"/>
          <w:color w:val="000000" w:themeColor="text1"/>
          <w:lang w:val="pl-PL"/>
        </w:rPr>
        <w:t xml:space="preserve"> w szczególności</w:t>
      </w:r>
      <w:r>
        <w:rPr>
          <w:rFonts w:eastAsia="Calibri"/>
          <w:color w:val="000000" w:themeColor="text1"/>
          <w:lang w:val="pl-PL"/>
        </w:rPr>
        <w:t>:</w:t>
      </w:r>
    </w:p>
    <w:p w14:paraId="196E8045" w14:textId="2B0CD77C" w:rsidR="004201BC" w:rsidRPr="00060165" w:rsidRDefault="004201BC" w:rsidP="00060165">
      <w:pPr>
        <w:pStyle w:val="EYBulletedList1"/>
        <w:numPr>
          <w:ilvl w:val="0"/>
          <w:numId w:val="11"/>
        </w:numPr>
        <w:ind w:left="289" w:hanging="289"/>
        <w:jc w:val="both"/>
        <w:rPr>
          <w:sz w:val="22"/>
          <w:szCs w:val="22"/>
          <w:lang w:val="pl-PL"/>
        </w:rPr>
      </w:pPr>
      <w:r w:rsidRPr="00060165">
        <w:rPr>
          <w:sz w:val="22"/>
          <w:szCs w:val="22"/>
          <w:lang w:val="pl-PL"/>
        </w:rPr>
        <w:t>przekazanie odpowiedzialności za zapewnienie wytworzenia</w:t>
      </w:r>
      <w:r>
        <w:rPr>
          <w:sz w:val="22"/>
          <w:szCs w:val="22"/>
          <w:lang w:val="pl-PL"/>
        </w:rPr>
        <w:t xml:space="preserve"> i utrzymania</w:t>
      </w:r>
      <w:r w:rsidRPr="00060165">
        <w:rPr>
          <w:sz w:val="22"/>
          <w:szCs w:val="22"/>
          <w:lang w:val="pl-PL"/>
        </w:rPr>
        <w:t xml:space="preserve"> dostępu</w:t>
      </w:r>
      <w:r w:rsidRPr="009E69EA">
        <w:rPr>
          <w:sz w:val="22"/>
          <w:szCs w:val="22"/>
          <w:lang w:val="pl-PL"/>
        </w:rPr>
        <w:t xml:space="preserve"> </w:t>
      </w:r>
      <w:r>
        <w:rPr>
          <w:sz w:val="22"/>
          <w:szCs w:val="22"/>
          <w:lang w:val="pl-PL"/>
        </w:rPr>
        <w:t xml:space="preserve">do dializ, co </w:t>
      </w:r>
      <w:r w:rsidRPr="00060165">
        <w:rPr>
          <w:sz w:val="22"/>
          <w:szCs w:val="22"/>
          <w:lang w:val="pl-PL"/>
        </w:rPr>
        <w:t>powinno przełożyć się na zmniejszony odsetek powikłań wśród pacjentów</w:t>
      </w:r>
    </w:p>
    <w:p w14:paraId="3F3BA1EC" w14:textId="0A560FF8" w:rsidR="004201BC" w:rsidRPr="00060165" w:rsidRDefault="004201BC" w:rsidP="00060165">
      <w:pPr>
        <w:pStyle w:val="EYBulletedList1"/>
        <w:numPr>
          <w:ilvl w:val="0"/>
          <w:numId w:val="11"/>
        </w:numPr>
        <w:ind w:left="289" w:hanging="289"/>
        <w:jc w:val="both"/>
        <w:rPr>
          <w:sz w:val="22"/>
          <w:szCs w:val="22"/>
          <w:lang w:val="pl-PL"/>
        </w:rPr>
      </w:pPr>
      <w:r w:rsidRPr="00060165">
        <w:rPr>
          <w:sz w:val="22"/>
          <w:szCs w:val="22"/>
          <w:lang w:val="pl-PL"/>
        </w:rPr>
        <w:t>przekazanie odpowiedzialności za</w:t>
      </w:r>
      <w:r w:rsidR="00B6627A">
        <w:rPr>
          <w:sz w:val="22"/>
          <w:szCs w:val="22"/>
          <w:lang w:val="pl-PL"/>
        </w:rPr>
        <w:t xml:space="preserve"> przygotowanie pacjenta do zgłoszenia </w:t>
      </w:r>
      <w:r w:rsidRPr="00060165">
        <w:rPr>
          <w:sz w:val="22"/>
          <w:szCs w:val="22"/>
          <w:lang w:val="pl-PL"/>
        </w:rPr>
        <w:t>do przes</w:t>
      </w:r>
      <w:r w:rsidRPr="009E69EA">
        <w:rPr>
          <w:sz w:val="22"/>
          <w:szCs w:val="22"/>
          <w:lang w:val="pl-PL"/>
        </w:rPr>
        <w:t>zczepienia</w:t>
      </w:r>
    </w:p>
    <w:p w14:paraId="34A9AB47" w14:textId="3C5FD084" w:rsidR="001419EA" w:rsidRDefault="00F75992" w:rsidP="00060165">
      <w:pPr>
        <w:pStyle w:val="EYBulletedList1"/>
        <w:numPr>
          <w:ilvl w:val="0"/>
          <w:numId w:val="11"/>
        </w:numPr>
        <w:ind w:left="289" w:hanging="289"/>
        <w:jc w:val="both"/>
        <w:rPr>
          <w:sz w:val="22"/>
          <w:szCs w:val="22"/>
          <w:lang w:val="pl-PL"/>
        </w:rPr>
      </w:pPr>
      <w:r>
        <w:rPr>
          <w:sz w:val="22"/>
          <w:szCs w:val="22"/>
          <w:lang w:val="pl-PL"/>
        </w:rPr>
        <w:t>przekazanie</w:t>
      </w:r>
      <w:r w:rsidR="004201BC" w:rsidRPr="00060165">
        <w:rPr>
          <w:sz w:val="22"/>
          <w:szCs w:val="22"/>
          <w:lang w:val="pl-PL"/>
        </w:rPr>
        <w:t xml:space="preserve"> odpowiedzialności w zakresie regulacji gospodarki wapniowo-fosforanowej </w:t>
      </w:r>
    </w:p>
    <w:p w14:paraId="6DBF9FD1" w14:textId="6145C0F4" w:rsidR="004201BC" w:rsidRPr="00060165" w:rsidRDefault="001419EA" w:rsidP="00060165">
      <w:pPr>
        <w:pStyle w:val="EYBulletedList1"/>
        <w:numPr>
          <w:ilvl w:val="0"/>
          <w:numId w:val="11"/>
        </w:numPr>
        <w:ind w:left="289" w:hanging="289"/>
        <w:jc w:val="both"/>
        <w:rPr>
          <w:sz w:val="22"/>
          <w:szCs w:val="22"/>
          <w:lang w:val="pl-PL"/>
        </w:rPr>
      </w:pPr>
      <w:r>
        <w:rPr>
          <w:sz w:val="22"/>
          <w:szCs w:val="22"/>
          <w:lang w:val="pl-PL"/>
        </w:rPr>
        <w:t xml:space="preserve">przekazanie odpowiedzialności za leczenie niedokrwistości pacjentów w okresie </w:t>
      </w:r>
      <w:proofErr w:type="spellStart"/>
      <w:r>
        <w:rPr>
          <w:sz w:val="22"/>
          <w:szCs w:val="22"/>
          <w:lang w:val="pl-PL"/>
        </w:rPr>
        <w:t>pr</w:t>
      </w:r>
      <w:r w:rsidR="0051433B">
        <w:rPr>
          <w:sz w:val="22"/>
          <w:szCs w:val="22"/>
          <w:lang w:val="pl-PL"/>
        </w:rPr>
        <w:t>z</w:t>
      </w:r>
      <w:r>
        <w:rPr>
          <w:sz w:val="22"/>
          <w:szCs w:val="22"/>
          <w:lang w:val="pl-PL"/>
        </w:rPr>
        <w:t>eddializacyjnym</w:t>
      </w:r>
      <w:proofErr w:type="spellEnd"/>
      <w:r w:rsidR="004201BC" w:rsidRPr="00060165">
        <w:rPr>
          <w:sz w:val="22"/>
          <w:szCs w:val="22"/>
          <w:lang w:val="pl-PL"/>
        </w:rPr>
        <w:t xml:space="preserve"> </w:t>
      </w:r>
    </w:p>
    <w:p w14:paraId="6B6300E5" w14:textId="0DF7210D" w:rsidR="004201BC" w:rsidRPr="00060165" w:rsidRDefault="004201BC" w:rsidP="00060165">
      <w:pPr>
        <w:pStyle w:val="EYBulletedList1"/>
        <w:numPr>
          <w:ilvl w:val="0"/>
          <w:numId w:val="11"/>
        </w:numPr>
        <w:ind w:left="289" w:hanging="289"/>
        <w:jc w:val="both"/>
        <w:rPr>
          <w:sz w:val="22"/>
          <w:szCs w:val="22"/>
          <w:lang w:val="pl-PL"/>
        </w:rPr>
      </w:pPr>
      <w:r w:rsidRPr="00060165">
        <w:rPr>
          <w:sz w:val="22"/>
          <w:szCs w:val="22"/>
          <w:lang w:val="pl-PL"/>
        </w:rPr>
        <w:t xml:space="preserve">przekazanie części uprawnień lekarza POZ </w:t>
      </w:r>
      <w:r>
        <w:rPr>
          <w:sz w:val="22"/>
          <w:szCs w:val="22"/>
          <w:lang w:val="pl-PL"/>
        </w:rPr>
        <w:t>takich jak kierowanie</w:t>
      </w:r>
      <w:r w:rsidRPr="00060165">
        <w:rPr>
          <w:sz w:val="22"/>
          <w:szCs w:val="22"/>
          <w:lang w:val="pl-PL"/>
        </w:rPr>
        <w:t xml:space="preserve"> na badania, </w:t>
      </w:r>
      <w:r>
        <w:rPr>
          <w:sz w:val="22"/>
          <w:szCs w:val="22"/>
          <w:lang w:val="pl-PL"/>
        </w:rPr>
        <w:t xml:space="preserve">wystawianie </w:t>
      </w:r>
      <w:r w:rsidRPr="009E69EA">
        <w:rPr>
          <w:sz w:val="22"/>
          <w:szCs w:val="22"/>
          <w:lang w:val="pl-PL"/>
        </w:rPr>
        <w:t>zleceń</w:t>
      </w:r>
      <w:r w:rsidRPr="00060165">
        <w:rPr>
          <w:sz w:val="22"/>
          <w:szCs w:val="22"/>
          <w:lang w:val="pl-PL"/>
        </w:rPr>
        <w:t xml:space="preserve"> transportu medycznego czy też </w:t>
      </w:r>
      <w:r>
        <w:rPr>
          <w:sz w:val="22"/>
          <w:szCs w:val="22"/>
          <w:lang w:val="pl-PL"/>
        </w:rPr>
        <w:t>wystawianie</w:t>
      </w:r>
      <w:r w:rsidRPr="00060165">
        <w:rPr>
          <w:sz w:val="22"/>
          <w:szCs w:val="22"/>
          <w:lang w:val="pl-PL"/>
        </w:rPr>
        <w:t xml:space="preserve"> recept 75+ </w:t>
      </w:r>
      <w:r w:rsidRPr="00060165" w:rsidDel="000F69EA">
        <w:rPr>
          <w:sz w:val="22"/>
          <w:szCs w:val="22"/>
          <w:lang w:val="pl-PL"/>
        </w:rPr>
        <w:t xml:space="preserve"> </w:t>
      </w:r>
    </w:p>
    <w:p w14:paraId="7B27670F" w14:textId="35EFCDF1" w:rsidR="004201BC" w:rsidRPr="009E69EA" w:rsidRDefault="004201BC" w:rsidP="00060165">
      <w:pPr>
        <w:pStyle w:val="EYBulletedList1"/>
        <w:numPr>
          <w:ilvl w:val="0"/>
          <w:numId w:val="11"/>
        </w:numPr>
        <w:ind w:left="289" w:hanging="289"/>
        <w:jc w:val="both"/>
        <w:rPr>
          <w:sz w:val="22"/>
          <w:szCs w:val="22"/>
          <w:lang w:val="pl-PL"/>
        </w:rPr>
      </w:pPr>
      <w:r w:rsidRPr="00060165">
        <w:rPr>
          <w:sz w:val="22"/>
          <w:szCs w:val="22"/>
          <w:lang w:val="pl-PL"/>
        </w:rPr>
        <w:t xml:space="preserve">powierzenie odpowiedzialności w zakresie </w:t>
      </w:r>
      <w:r w:rsidR="00C26A17">
        <w:rPr>
          <w:sz w:val="22"/>
          <w:szCs w:val="22"/>
          <w:lang w:val="pl-PL"/>
        </w:rPr>
        <w:t xml:space="preserve">zlecania </w:t>
      </w:r>
      <w:r>
        <w:rPr>
          <w:sz w:val="22"/>
          <w:szCs w:val="22"/>
          <w:lang w:val="pl-PL"/>
        </w:rPr>
        <w:t>świadczeń uzupełniających takich jak</w:t>
      </w:r>
      <w:r w:rsidRPr="009E69EA">
        <w:rPr>
          <w:sz w:val="22"/>
          <w:szCs w:val="22"/>
          <w:lang w:val="pl-PL"/>
        </w:rPr>
        <w:t>:</w:t>
      </w:r>
    </w:p>
    <w:p w14:paraId="3B0FD725" w14:textId="7122E44A" w:rsidR="004201BC" w:rsidRPr="009E69EA" w:rsidRDefault="004201BC" w:rsidP="00060165">
      <w:pPr>
        <w:pStyle w:val="EYBulletedList1"/>
        <w:numPr>
          <w:ilvl w:val="1"/>
          <w:numId w:val="11"/>
        </w:numPr>
        <w:jc w:val="both"/>
        <w:rPr>
          <w:sz w:val="22"/>
          <w:szCs w:val="22"/>
          <w:lang w:val="pl-PL"/>
        </w:rPr>
      </w:pPr>
      <w:r w:rsidRPr="009E69EA">
        <w:rPr>
          <w:sz w:val="22"/>
          <w:szCs w:val="22"/>
          <w:lang w:val="pl-PL"/>
        </w:rPr>
        <w:t xml:space="preserve">koordynacja opieki </w:t>
      </w:r>
    </w:p>
    <w:p w14:paraId="139DF4F0" w14:textId="46BEC932" w:rsidR="004201BC" w:rsidRPr="009E69EA" w:rsidRDefault="001419EA" w:rsidP="00060165">
      <w:pPr>
        <w:pStyle w:val="EYBulletedList1"/>
        <w:numPr>
          <w:ilvl w:val="1"/>
          <w:numId w:val="11"/>
        </w:numPr>
        <w:jc w:val="both"/>
        <w:rPr>
          <w:sz w:val="22"/>
          <w:szCs w:val="22"/>
          <w:lang w:val="pl-PL"/>
        </w:rPr>
      </w:pPr>
      <w:r w:rsidRPr="009E69EA">
        <w:rPr>
          <w:sz w:val="22"/>
          <w:szCs w:val="22"/>
          <w:lang w:val="pl-PL"/>
        </w:rPr>
        <w:lastRenderedPageBreak/>
        <w:t>opieka dietetyczna</w:t>
      </w:r>
    </w:p>
    <w:p w14:paraId="3887A181" w14:textId="3F9709B5" w:rsidR="004201BC" w:rsidRDefault="001419EA" w:rsidP="00060165">
      <w:pPr>
        <w:pStyle w:val="EYBulletedList1"/>
        <w:numPr>
          <w:ilvl w:val="1"/>
          <w:numId w:val="11"/>
        </w:numPr>
        <w:jc w:val="both"/>
        <w:rPr>
          <w:sz w:val="22"/>
          <w:szCs w:val="22"/>
          <w:lang w:val="pl-PL"/>
        </w:rPr>
      </w:pPr>
      <w:r w:rsidRPr="009E69EA">
        <w:rPr>
          <w:sz w:val="22"/>
          <w:szCs w:val="22"/>
          <w:lang w:val="pl-PL"/>
        </w:rPr>
        <w:t>opieka psychologa</w:t>
      </w:r>
    </w:p>
    <w:p w14:paraId="5E4F1DD9" w14:textId="1C38F7EF" w:rsidR="004201BC" w:rsidRPr="009E69EA" w:rsidRDefault="004201BC" w:rsidP="00060165">
      <w:pPr>
        <w:pStyle w:val="EYBulletedList1"/>
        <w:numPr>
          <w:ilvl w:val="1"/>
          <w:numId w:val="11"/>
        </w:numPr>
        <w:jc w:val="both"/>
        <w:rPr>
          <w:sz w:val="22"/>
          <w:szCs w:val="22"/>
          <w:lang w:val="pl-PL"/>
        </w:rPr>
      </w:pPr>
      <w:r>
        <w:rPr>
          <w:sz w:val="22"/>
          <w:szCs w:val="22"/>
          <w:lang w:val="pl-PL"/>
        </w:rPr>
        <w:t>zabiegi fizjoterapeutyczne</w:t>
      </w:r>
    </w:p>
    <w:p w14:paraId="502647A7" w14:textId="5471D3AC" w:rsidR="004201BC" w:rsidRPr="00060165" w:rsidRDefault="004201BC" w:rsidP="00060165">
      <w:pPr>
        <w:pStyle w:val="EYBulletedList1"/>
        <w:numPr>
          <w:ilvl w:val="1"/>
          <w:numId w:val="11"/>
        </w:numPr>
        <w:jc w:val="both"/>
        <w:rPr>
          <w:sz w:val="22"/>
          <w:szCs w:val="22"/>
          <w:lang w:val="pl-PL"/>
        </w:rPr>
      </w:pPr>
      <w:r w:rsidRPr="00060165">
        <w:rPr>
          <w:sz w:val="22"/>
          <w:szCs w:val="22"/>
          <w:lang w:val="pl-PL"/>
        </w:rPr>
        <w:t>edukacj</w:t>
      </w:r>
      <w:r w:rsidRPr="009E69EA">
        <w:rPr>
          <w:sz w:val="22"/>
          <w:szCs w:val="22"/>
          <w:lang w:val="pl-PL"/>
        </w:rPr>
        <w:t>a</w:t>
      </w:r>
      <w:r w:rsidRPr="00060165">
        <w:rPr>
          <w:sz w:val="22"/>
          <w:szCs w:val="22"/>
          <w:lang w:val="pl-PL"/>
        </w:rPr>
        <w:t xml:space="preserve"> pacjentów</w:t>
      </w:r>
    </w:p>
    <w:p w14:paraId="7B937ADC" w14:textId="2065B98D" w:rsidR="002A6ECD" w:rsidRDefault="001419EA" w:rsidP="002A6ECD">
      <w:pPr>
        <w:rPr>
          <w:lang w:val="pl-PL"/>
        </w:rPr>
      </w:pPr>
      <w:r>
        <w:rPr>
          <w:lang w:val="pl-PL"/>
        </w:rPr>
        <w:t>W</w:t>
      </w:r>
      <w:r w:rsidR="004201BC">
        <w:rPr>
          <w:lang w:val="pl-PL"/>
        </w:rPr>
        <w:t xml:space="preserve"> dłuższym horyzoncie </w:t>
      </w:r>
      <w:r>
        <w:rPr>
          <w:lang w:val="pl-PL"/>
        </w:rPr>
        <w:t>proponuje się przeanalizowanie i potencjalnie uzupełnienie docelowego</w:t>
      </w:r>
      <w:r w:rsidR="004201BC">
        <w:rPr>
          <w:lang w:val="pl-PL"/>
        </w:rPr>
        <w:t xml:space="preserve"> model</w:t>
      </w:r>
      <w:r>
        <w:rPr>
          <w:lang w:val="pl-PL"/>
        </w:rPr>
        <w:t>u</w:t>
      </w:r>
      <w:r w:rsidR="004201BC">
        <w:rPr>
          <w:lang w:val="pl-PL"/>
        </w:rPr>
        <w:t xml:space="preserve"> opieki </w:t>
      </w:r>
      <w:r>
        <w:rPr>
          <w:lang w:val="pl-PL"/>
        </w:rPr>
        <w:t>o dodatkowe świadczenia związane z poradami innych specjalistów, takich jak np. kardiolog czy też diabetolog.</w:t>
      </w:r>
    </w:p>
    <w:p w14:paraId="63DD4122" w14:textId="0F9024D8" w:rsidR="00FA5D20" w:rsidRPr="004E62AC" w:rsidRDefault="00FA5D20" w:rsidP="004E62AC">
      <w:pPr>
        <w:pStyle w:val="Legenda"/>
        <w:keepNext/>
        <w:rPr>
          <w:b/>
          <w:i w:val="0"/>
          <w:color w:val="auto"/>
          <w:lang w:val="pl-PL"/>
        </w:rPr>
      </w:pPr>
      <w:bookmarkStart w:id="3" w:name="_Toc486537958"/>
      <w:r w:rsidRPr="004E62AC">
        <w:rPr>
          <w:b/>
          <w:i w:val="0"/>
          <w:color w:val="auto"/>
          <w:lang w:val="pl-PL"/>
        </w:rPr>
        <w:t xml:space="preserve">Rysunek </w:t>
      </w:r>
      <w:r w:rsidRPr="004E62AC">
        <w:rPr>
          <w:b/>
          <w:i w:val="0"/>
          <w:color w:val="auto"/>
          <w:lang w:val="pl-PL"/>
        </w:rPr>
        <w:fldChar w:fldCharType="begin"/>
      </w:r>
      <w:r w:rsidRPr="004E62AC">
        <w:rPr>
          <w:b/>
          <w:i w:val="0"/>
          <w:color w:val="auto"/>
          <w:lang w:val="pl-PL"/>
        </w:rPr>
        <w:instrText xml:space="preserve"> SEQ Rysunek \* ARABIC </w:instrText>
      </w:r>
      <w:r w:rsidRPr="004E62AC">
        <w:rPr>
          <w:b/>
          <w:i w:val="0"/>
          <w:color w:val="auto"/>
          <w:lang w:val="pl-PL"/>
        </w:rPr>
        <w:fldChar w:fldCharType="separate"/>
      </w:r>
      <w:r w:rsidR="005C7285">
        <w:rPr>
          <w:b/>
          <w:i w:val="0"/>
          <w:noProof/>
          <w:color w:val="auto"/>
          <w:lang w:val="pl-PL"/>
        </w:rPr>
        <w:t>2</w:t>
      </w:r>
      <w:r w:rsidRPr="004E62AC">
        <w:rPr>
          <w:b/>
          <w:i w:val="0"/>
          <w:color w:val="auto"/>
          <w:lang w:val="pl-PL"/>
        </w:rPr>
        <w:fldChar w:fldCharType="end"/>
      </w:r>
      <w:r w:rsidR="009D48A9">
        <w:rPr>
          <w:b/>
          <w:i w:val="0"/>
          <w:color w:val="auto"/>
          <w:lang w:val="pl-PL"/>
        </w:rPr>
        <w:t xml:space="preserve"> </w:t>
      </w:r>
      <w:r w:rsidR="00761080">
        <w:rPr>
          <w:b/>
          <w:i w:val="0"/>
          <w:color w:val="auto"/>
          <w:lang w:val="pl-PL"/>
        </w:rPr>
        <w:t>Komp</w:t>
      </w:r>
      <w:r w:rsidR="00F75992">
        <w:rPr>
          <w:b/>
          <w:i w:val="0"/>
          <w:color w:val="auto"/>
          <w:lang w:val="pl-PL"/>
        </w:rPr>
        <w:t>e</w:t>
      </w:r>
      <w:r w:rsidR="00761080">
        <w:rPr>
          <w:b/>
          <w:i w:val="0"/>
          <w:color w:val="auto"/>
          <w:lang w:val="pl-PL"/>
        </w:rPr>
        <w:t>tencje i</w:t>
      </w:r>
      <w:r w:rsidRPr="004E62AC">
        <w:rPr>
          <w:b/>
          <w:i w:val="0"/>
          <w:color w:val="auto"/>
          <w:lang w:val="pl-PL"/>
        </w:rPr>
        <w:t xml:space="preserve"> zakres odpowiedzialności jednostki koordynującej</w:t>
      </w:r>
      <w:bookmarkEnd w:id="3"/>
      <w:r>
        <w:rPr>
          <w:b/>
          <w:i w:val="0"/>
          <w:color w:val="auto"/>
          <w:lang w:val="pl-PL"/>
        </w:rPr>
        <w:t xml:space="preserve"> </w:t>
      </w:r>
    </w:p>
    <w:p w14:paraId="3A188EE4" w14:textId="3DA6C0B3" w:rsidR="001419EA" w:rsidRDefault="006743A5" w:rsidP="004E62AC">
      <w:pPr>
        <w:rPr>
          <w:rFonts w:eastAsia="Calibri"/>
        </w:rPr>
      </w:pPr>
      <w:r>
        <w:rPr>
          <w:rFonts w:eastAsia="Calibri"/>
          <w:noProof/>
          <w:lang w:val="pl-PL" w:eastAsia="pl-PL"/>
        </w:rPr>
        <w:drawing>
          <wp:inline distT="0" distB="0" distL="0" distR="0" wp14:anchorId="333D3BE7" wp14:editId="56F4413E">
            <wp:extent cx="5733415" cy="3504565"/>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uzzle.PNG"/>
                    <pic:cNvPicPr/>
                  </pic:nvPicPr>
                  <pic:blipFill>
                    <a:blip r:embed="rId9">
                      <a:extLst>
                        <a:ext uri="{28A0092B-C50C-407E-A947-70E740481C1C}">
                          <a14:useLocalDpi xmlns:a14="http://schemas.microsoft.com/office/drawing/2010/main" val="0"/>
                        </a:ext>
                      </a:extLst>
                    </a:blip>
                    <a:stretch>
                      <a:fillRect/>
                    </a:stretch>
                  </pic:blipFill>
                  <pic:spPr>
                    <a:xfrm>
                      <a:off x="0" y="0"/>
                      <a:ext cx="5733415" cy="3504565"/>
                    </a:xfrm>
                    <a:prstGeom prst="rect">
                      <a:avLst/>
                    </a:prstGeom>
                  </pic:spPr>
                </pic:pic>
              </a:graphicData>
            </a:graphic>
          </wp:inline>
        </w:drawing>
      </w:r>
    </w:p>
    <w:p w14:paraId="17D81F86" w14:textId="78890D92" w:rsidR="001419EA" w:rsidRPr="00835025" w:rsidRDefault="00036223" w:rsidP="009E69EA">
      <w:pPr>
        <w:rPr>
          <w:rFonts w:eastAsia="Calibri"/>
          <w:sz w:val="18"/>
          <w:szCs w:val="18"/>
          <w:lang w:val="pl-PL"/>
        </w:rPr>
      </w:pPr>
      <w:r w:rsidRPr="00835025">
        <w:rPr>
          <w:rFonts w:eastAsia="Calibri"/>
          <w:sz w:val="18"/>
          <w:szCs w:val="18"/>
          <w:lang w:val="pl-PL"/>
        </w:rPr>
        <w:t>Źródło: Opracowanie własne EY</w:t>
      </w:r>
    </w:p>
    <w:p w14:paraId="6C1928D9" w14:textId="7377BD17" w:rsidR="001419EA" w:rsidRDefault="001419EA" w:rsidP="001419EA">
      <w:pPr>
        <w:rPr>
          <w:rFonts w:eastAsia="Calibri"/>
          <w:lang w:val="pl-PL"/>
        </w:rPr>
      </w:pPr>
      <w:r>
        <w:rPr>
          <w:rFonts w:eastAsia="Calibri"/>
          <w:lang w:val="pl-PL"/>
        </w:rPr>
        <w:t xml:space="preserve">Wprowadzanie opieki koordynowanej nakierowanej na wyniki leczenia będzie wymagać zdefiniowania i wprowadzenia wskaźników wspierających kontrolowanie jakości leczenia. </w:t>
      </w:r>
      <w:r w:rsidR="00F75992">
        <w:rPr>
          <w:rFonts w:eastAsia="Calibri"/>
          <w:lang w:val="pl-PL"/>
        </w:rPr>
        <w:t>Wdrożenie</w:t>
      </w:r>
      <w:r>
        <w:rPr>
          <w:rFonts w:eastAsia="Calibri"/>
          <w:lang w:val="pl-PL"/>
        </w:rPr>
        <w:t xml:space="preserve"> systemu monitorowania wyników leczenia powinno zostać przeprowadzone etapowo</w:t>
      </w:r>
      <w:r w:rsidR="006743A5">
        <w:rPr>
          <w:rFonts w:eastAsia="Calibri"/>
          <w:lang w:val="pl-PL"/>
        </w:rPr>
        <w:t xml:space="preserve"> i uwzględniać w szczególności</w:t>
      </w:r>
      <w:r>
        <w:rPr>
          <w:rFonts w:eastAsia="Calibri"/>
          <w:lang w:val="pl-PL"/>
        </w:rPr>
        <w:t>:</w:t>
      </w:r>
    </w:p>
    <w:p w14:paraId="7EC18091" w14:textId="5AC56CE3" w:rsidR="001419EA" w:rsidRPr="00517788" w:rsidRDefault="001419EA" w:rsidP="00060165">
      <w:pPr>
        <w:pStyle w:val="EYBulletedList1"/>
        <w:numPr>
          <w:ilvl w:val="0"/>
          <w:numId w:val="11"/>
        </w:numPr>
        <w:ind w:left="289" w:hanging="289"/>
        <w:jc w:val="both"/>
        <w:rPr>
          <w:szCs w:val="22"/>
          <w:lang w:val="pl-PL"/>
        </w:rPr>
      </w:pPr>
      <w:r w:rsidRPr="00060165">
        <w:rPr>
          <w:sz w:val="22"/>
          <w:szCs w:val="22"/>
          <w:lang w:val="pl-PL"/>
        </w:rPr>
        <w:t>Pilotaż obejmujący przetestowanie zdefiniowanych wskaźników oraz obserwację parametrów osiąganych przez poszczególne jednostki koordynujące</w:t>
      </w:r>
    </w:p>
    <w:p w14:paraId="7C888181" w14:textId="716DA8A9" w:rsidR="001419EA" w:rsidRPr="00517788" w:rsidRDefault="001419EA" w:rsidP="00060165">
      <w:pPr>
        <w:pStyle w:val="EYBulletedList1"/>
        <w:numPr>
          <w:ilvl w:val="0"/>
          <w:numId w:val="11"/>
        </w:numPr>
        <w:ind w:left="289" w:hanging="289"/>
        <w:jc w:val="both"/>
        <w:rPr>
          <w:szCs w:val="22"/>
          <w:lang w:val="pl-PL"/>
        </w:rPr>
      </w:pPr>
      <w:r w:rsidRPr="00060165">
        <w:rPr>
          <w:sz w:val="22"/>
          <w:szCs w:val="22"/>
          <w:lang w:val="pl-PL"/>
        </w:rPr>
        <w:t>Etap 1 obejmujący wprowadzenie obowiązku raportowania wyników przez jednostki koordynujące (w trybie rocznym) oraz upublicznianie wyników i zdefiniowanie wielkości populacji dla poszczególnych parametrów</w:t>
      </w:r>
    </w:p>
    <w:p w14:paraId="16EC413A" w14:textId="0852B612" w:rsidR="001419EA" w:rsidRPr="00517788" w:rsidRDefault="001419EA" w:rsidP="00060165">
      <w:pPr>
        <w:pStyle w:val="EYBulletedList1"/>
        <w:numPr>
          <w:ilvl w:val="0"/>
          <w:numId w:val="11"/>
        </w:numPr>
        <w:ind w:left="289" w:hanging="289"/>
        <w:jc w:val="both"/>
        <w:rPr>
          <w:szCs w:val="22"/>
          <w:lang w:val="pl-PL"/>
        </w:rPr>
      </w:pPr>
      <w:r w:rsidRPr="00060165">
        <w:rPr>
          <w:sz w:val="22"/>
          <w:szCs w:val="22"/>
          <w:lang w:val="pl-PL"/>
        </w:rPr>
        <w:t>Etap 2 obejmujący wprowadzenie obowiązku opracowywania planów naprawczych w przypadku, kiedy wartości oczekiwane nie są osiągane, a następnie egzekwowanie wdrożenia tych planów</w:t>
      </w:r>
    </w:p>
    <w:p w14:paraId="681F9565" w14:textId="555D15F0" w:rsidR="001419EA" w:rsidRDefault="001419EA" w:rsidP="00060165">
      <w:pPr>
        <w:pStyle w:val="EYBulletedList1"/>
        <w:numPr>
          <w:ilvl w:val="0"/>
          <w:numId w:val="11"/>
        </w:numPr>
        <w:ind w:left="289" w:hanging="289"/>
        <w:jc w:val="both"/>
        <w:rPr>
          <w:szCs w:val="22"/>
          <w:lang w:val="pl-PL"/>
        </w:rPr>
      </w:pPr>
      <w:r w:rsidRPr="00060165">
        <w:rPr>
          <w:sz w:val="22"/>
          <w:szCs w:val="22"/>
          <w:lang w:val="pl-PL"/>
        </w:rPr>
        <w:t xml:space="preserve">Etap 3 obejmujący wprowadzenie systemu nagród w przypadku przekroczenia wartości oczekiwanych </w:t>
      </w:r>
      <w:r w:rsidR="006743A5" w:rsidRPr="00060165">
        <w:rPr>
          <w:sz w:val="22"/>
          <w:szCs w:val="22"/>
          <w:lang w:val="pl-PL"/>
        </w:rPr>
        <w:t xml:space="preserve">i penalizacji </w:t>
      </w:r>
      <w:r w:rsidR="006743A5">
        <w:rPr>
          <w:sz w:val="22"/>
          <w:szCs w:val="22"/>
          <w:lang w:val="pl-PL"/>
        </w:rPr>
        <w:t xml:space="preserve">w przypadku </w:t>
      </w:r>
      <w:r w:rsidRPr="00060165">
        <w:rPr>
          <w:sz w:val="22"/>
          <w:szCs w:val="22"/>
          <w:lang w:val="pl-PL"/>
        </w:rPr>
        <w:t>nie spełni</w:t>
      </w:r>
      <w:r w:rsidR="006743A5">
        <w:rPr>
          <w:sz w:val="22"/>
          <w:szCs w:val="22"/>
          <w:lang w:val="pl-PL"/>
        </w:rPr>
        <w:t>a</w:t>
      </w:r>
      <w:r w:rsidRPr="00060165">
        <w:rPr>
          <w:sz w:val="22"/>
          <w:szCs w:val="22"/>
          <w:lang w:val="pl-PL"/>
        </w:rPr>
        <w:t>nia wymogów</w:t>
      </w:r>
    </w:p>
    <w:p w14:paraId="20E25172" w14:textId="77777777" w:rsidR="002E4262" w:rsidRDefault="002E4262" w:rsidP="00060165">
      <w:pPr>
        <w:pStyle w:val="EYBulletedList1"/>
        <w:numPr>
          <w:ilvl w:val="0"/>
          <w:numId w:val="0"/>
        </w:numPr>
        <w:ind w:left="288" w:hanging="288"/>
        <w:jc w:val="both"/>
        <w:rPr>
          <w:szCs w:val="22"/>
          <w:lang w:val="pl-PL"/>
        </w:rPr>
      </w:pPr>
    </w:p>
    <w:p w14:paraId="255B4F71" w14:textId="438A8285" w:rsidR="002E4262" w:rsidRDefault="002E4262" w:rsidP="00060165">
      <w:pPr>
        <w:pStyle w:val="EYBulletedList1"/>
        <w:numPr>
          <w:ilvl w:val="0"/>
          <w:numId w:val="0"/>
        </w:numPr>
        <w:ind w:left="288" w:hanging="288"/>
        <w:jc w:val="both"/>
        <w:rPr>
          <w:b/>
          <w:szCs w:val="22"/>
          <w:lang w:val="pl-PL"/>
        </w:rPr>
      </w:pPr>
      <w:r w:rsidRPr="00060165">
        <w:rPr>
          <w:b/>
          <w:sz w:val="22"/>
          <w:szCs w:val="22"/>
          <w:lang w:val="pl-PL"/>
        </w:rPr>
        <w:t xml:space="preserve">Szacowany wpływ na budżet </w:t>
      </w:r>
    </w:p>
    <w:p w14:paraId="378FB122" w14:textId="0D1B2E1E" w:rsidR="002E4262" w:rsidRDefault="00F75992" w:rsidP="00060165">
      <w:pPr>
        <w:rPr>
          <w:rFonts w:eastAsia="Calibri"/>
          <w:lang w:val="pl-PL"/>
        </w:rPr>
      </w:pPr>
      <w:r>
        <w:rPr>
          <w:rFonts w:eastAsia="Calibri"/>
          <w:lang w:val="pl-PL"/>
        </w:rPr>
        <w:t>W ramach prac nad modelem opieki koordynowanej p</w:t>
      </w:r>
      <w:r w:rsidR="002E4262">
        <w:rPr>
          <w:rFonts w:eastAsia="Calibri"/>
          <w:lang w:val="pl-PL"/>
        </w:rPr>
        <w:t>rzeprowadzono analizy kosztów dla kilku scenariuszy</w:t>
      </w:r>
      <w:r w:rsidR="009D2979">
        <w:rPr>
          <w:rFonts w:eastAsia="Calibri"/>
          <w:lang w:val="pl-PL"/>
        </w:rPr>
        <w:t xml:space="preserve"> populacyjnych zgodnie z danymi przedstawionymi w poniższej tabeli.</w:t>
      </w:r>
    </w:p>
    <w:p w14:paraId="2BFAA479" w14:textId="3FEA06F8" w:rsidR="009D2979" w:rsidRPr="00060165" w:rsidRDefault="009D2979" w:rsidP="00060165">
      <w:pPr>
        <w:pStyle w:val="Legenda"/>
        <w:keepNext/>
        <w:rPr>
          <w:b/>
          <w:i w:val="0"/>
          <w:color w:val="auto"/>
          <w:lang w:val="pl-PL"/>
        </w:rPr>
      </w:pPr>
      <w:bookmarkStart w:id="4" w:name="_Toc486537964"/>
      <w:r w:rsidRPr="00060165">
        <w:rPr>
          <w:b/>
          <w:i w:val="0"/>
          <w:color w:val="auto"/>
          <w:lang w:val="pl-PL"/>
        </w:rPr>
        <w:t xml:space="preserve">Tabela </w:t>
      </w:r>
      <w:r w:rsidRPr="00060165">
        <w:rPr>
          <w:b/>
          <w:i w:val="0"/>
          <w:color w:val="auto"/>
          <w:lang w:val="pl-PL"/>
        </w:rPr>
        <w:fldChar w:fldCharType="begin"/>
      </w:r>
      <w:r w:rsidRPr="00060165">
        <w:rPr>
          <w:b/>
          <w:i w:val="0"/>
          <w:color w:val="auto"/>
          <w:lang w:val="pl-PL"/>
        </w:rPr>
        <w:instrText xml:space="preserve"> SEQ Tabela \* ARABIC </w:instrText>
      </w:r>
      <w:r w:rsidRPr="00060165">
        <w:rPr>
          <w:b/>
          <w:i w:val="0"/>
          <w:color w:val="auto"/>
          <w:lang w:val="pl-PL"/>
        </w:rPr>
        <w:fldChar w:fldCharType="separate"/>
      </w:r>
      <w:r w:rsidR="005C7285">
        <w:rPr>
          <w:b/>
          <w:i w:val="0"/>
          <w:noProof/>
          <w:color w:val="auto"/>
          <w:lang w:val="pl-PL"/>
        </w:rPr>
        <w:t>1</w:t>
      </w:r>
      <w:r w:rsidRPr="00060165">
        <w:rPr>
          <w:b/>
          <w:i w:val="0"/>
          <w:color w:val="auto"/>
          <w:lang w:val="pl-PL"/>
        </w:rPr>
        <w:fldChar w:fldCharType="end"/>
      </w:r>
      <w:r w:rsidRPr="009D2979">
        <w:rPr>
          <w:b/>
          <w:i w:val="0"/>
          <w:color w:val="auto"/>
          <w:lang w:val="pl-PL"/>
        </w:rPr>
        <w:t xml:space="preserve"> </w:t>
      </w:r>
      <w:r w:rsidRPr="00307122">
        <w:rPr>
          <w:b/>
          <w:i w:val="0"/>
          <w:color w:val="auto"/>
          <w:lang w:val="pl-PL"/>
        </w:rPr>
        <w:t xml:space="preserve">Wielkość </w:t>
      </w:r>
      <w:r>
        <w:rPr>
          <w:b/>
          <w:i w:val="0"/>
          <w:color w:val="auto"/>
          <w:lang w:val="pl-PL"/>
        </w:rPr>
        <w:t xml:space="preserve">populacji pacjentów w zaawansowanym stadium </w:t>
      </w:r>
      <w:proofErr w:type="spellStart"/>
      <w:r>
        <w:rPr>
          <w:b/>
          <w:i w:val="0"/>
          <w:color w:val="auto"/>
          <w:lang w:val="pl-PL"/>
        </w:rPr>
        <w:t>PChN</w:t>
      </w:r>
      <w:proofErr w:type="spellEnd"/>
      <w:r>
        <w:rPr>
          <w:b/>
          <w:i w:val="0"/>
          <w:color w:val="auto"/>
          <w:lang w:val="pl-PL"/>
        </w:rPr>
        <w:t xml:space="preserve"> w </w:t>
      </w:r>
      <w:r w:rsidRPr="00307122">
        <w:rPr>
          <w:b/>
          <w:i w:val="0"/>
          <w:color w:val="auto"/>
          <w:lang w:val="pl-PL"/>
        </w:rPr>
        <w:t>analizowanych scenarius</w:t>
      </w:r>
      <w:r>
        <w:rPr>
          <w:b/>
          <w:i w:val="0"/>
          <w:color w:val="auto"/>
          <w:lang w:val="pl-PL"/>
        </w:rPr>
        <w:t>zach</w:t>
      </w:r>
      <w:bookmarkEnd w:id="4"/>
      <w:r>
        <w:rPr>
          <w:b/>
          <w:i w:val="0"/>
          <w:color w:val="auto"/>
          <w:lang w:val="pl-PL"/>
        </w:rPr>
        <w:t xml:space="preserve"> </w:t>
      </w:r>
    </w:p>
    <w:p w14:paraId="261C347F" w14:textId="7FED885E" w:rsidR="002E4262" w:rsidRDefault="009D2979" w:rsidP="00060165">
      <w:pPr>
        <w:rPr>
          <w:rFonts w:eastAsia="Calibri"/>
          <w:lang w:val="pl-PL"/>
        </w:rPr>
      </w:pPr>
      <w:r>
        <w:rPr>
          <w:rFonts w:eastAsia="Calibri"/>
          <w:noProof/>
          <w:lang w:val="pl-PL" w:eastAsia="pl-PL"/>
        </w:rPr>
        <w:drawing>
          <wp:inline distT="0" distB="0" distL="0" distR="0" wp14:anchorId="2ACB4A44" wp14:editId="3F03780B">
            <wp:extent cx="5760000" cy="149400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1494000"/>
                    </a:xfrm>
                    <a:prstGeom prst="rect">
                      <a:avLst/>
                    </a:prstGeom>
                    <a:noFill/>
                  </pic:spPr>
                </pic:pic>
              </a:graphicData>
            </a:graphic>
          </wp:inline>
        </w:drawing>
      </w:r>
    </w:p>
    <w:p w14:paraId="707C0A21" w14:textId="14497E29" w:rsidR="009D2979" w:rsidRPr="00C26A17" w:rsidRDefault="009D2979" w:rsidP="009D2979">
      <w:pPr>
        <w:jc w:val="left"/>
        <w:rPr>
          <w:rFonts w:eastAsia="Calibri"/>
          <w:sz w:val="18"/>
          <w:szCs w:val="18"/>
          <w:lang w:val="pl-PL"/>
        </w:rPr>
      </w:pPr>
      <w:r w:rsidRPr="00C26A17">
        <w:rPr>
          <w:rFonts w:eastAsia="Calibri"/>
          <w:sz w:val="18"/>
          <w:szCs w:val="18"/>
          <w:lang w:val="pl-PL"/>
        </w:rPr>
        <w:t xml:space="preserve">Źródło: Opracowanie własne EY na podstawie dyskusji ze środowiskiem nefrologicznym oraz Global </w:t>
      </w:r>
      <w:proofErr w:type="spellStart"/>
      <w:r w:rsidRPr="00C26A17">
        <w:rPr>
          <w:rFonts w:eastAsia="Calibri"/>
          <w:sz w:val="18"/>
          <w:szCs w:val="18"/>
          <w:lang w:val="pl-PL"/>
        </w:rPr>
        <w:t>Prevalence</w:t>
      </w:r>
      <w:proofErr w:type="spellEnd"/>
      <w:r w:rsidRPr="00C26A17">
        <w:rPr>
          <w:rFonts w:eastAsia="Calibri"/>
          <w:sz w:val="18"/>
          <w:szCs w:val="18"/>
          <w:lang w:val="pl-PL"/>
        </w:rPr>
        <w:t xml:space="preserve"> </w:t>
      </w:r>
      <w:r w:rsidRPr="00966040">
        <w:rPr>
          <w:rFonts w:eastAsia="Calibri"/>
          <w:sz w:val="18"/>
          <w:szCs w:val="18"/>
          <w:lang w:val="pl-PL"/>
        </w:rPr>
        <w:t xml:space="preserve">of </w:t>
      </w:r>
      <w:proofErr w:type="spellStart"/>
      <w:r w:rsidRPr="00966040">
        <w:rPr>
          <w:rFonts w:eastAsia="Calibri"/>
          <w:sz w:val="18"/>
          <w:szCs w:val="18"/>
          <w:lang w:val="pl-PL"/>
        </w:rPr>
        <w:t>Chronic</w:t>
      </w:r>
      <w:proofErr w:type="spellEnd"/>
      <w:r w:rsidRPr="00966040">
        <w:rPr>
          <w:rFonts w:eastAsia="Calibri"/>
          <w:sz w:val="18"/>
          <w:szCs w:val="18"/>
          <w:lang w:val="pl-PL"/>
        </w:rPr>
        <w:t xml:space="preserve"> </w:t>
      </w:r>
      <w:proofErr w:type="spellStart"/>
      <w:r w:rsidRPr="00966040">
        <w:rPr>
          <w:rFonts w:eastAsia="Calibri"/>
          <w:sz w:val="18"/>
          <w:szCs w:val="18"/>
          <w:lang w:val="pl-PL"/>
        </w:rPr>
        <w:t>Kidney</w:t>
      </w:r>
      <w:proofErr w:type="spellEnd"/>
      <w:r w:rsidRPr="00966040">
        <w:rPr>
          <w:rFonts w:eastAsia="Calibri"/>
          <w:sz w:val="18"/>
          <w:szCs w:val="18"/>
          <w:lang w:val="pl-PL"/>
        </w:rPr>
        <w:t xml:space="preserve"> </w:t>
      </w:r>
      <w:proofErr w:type="spellStart"/>
      <w:r w:rsidRPr="00966040">
        <w:rPr>
          <w:rFonts w:eastAsia="Calibri"/>
          <w:sz w:val="18"/>
          <w:szCs w:val="18"/>
          <w:lang w:val="pl-PL"/>
        </w:rPr>
        <w:t>Disease</w:t>
      </w:r>
      <w:proofErr w:type="spellEnd"/>
      <w:r w:rsidRPr="00966040">
        <w:rPr>
          <w:rFonts w:eastAsia="Calibri"/>
          <w:sz w:val="18"/>
          <w:szCs w:val="18"/>
          <w:lang w:val="pl-PL"/>
        </w:rPr>
        <w:t xml:space="preserve"> – A </w:t>
      </w:r>
      <w:proofErr w:type="spellStart"/>
      <w:r w:rsidRPr="00966040">
        <w:rPr>
          <w:rFonts w:eastAsia="Calibri"/>
          <w:sz w:val="18"/>
          <w:szCs w:val="18"/>
          <w:lang w:val="pl-PL"/>
        </w:rPr>
        <w:t>Systematic</w:t>
      </w:r>
      <w:proofErr w:type="spellEnd"/>
      <w:r w:rsidRPr="00966040">
        <w:rPr>
          <w:rFonts w:eastAsia="Calibri"/>
          <w:sz w:val="18"/>
          <w:szCs w:val="18"/>
          <w:lang w:val="pl-PL"/>
        </w:rPr>
        <w:t xml:space="preserve"> </w:t>
      </w:r>
      <w:proofErr w:type="spellStart"/>
      <w:r w:rsidRPr="00966040">
        <w:rPr>
          <w:rFonts w:eastAsia="Calibri"/>
          <w:sz w:val="18"/>
          <w:szCs w:val="18"/>
          <w:lang w:val="pl-PL"/>
        </w:rPr>
        <w:t>Review</w:t>
      </w:r>
      <w:proofErr w:type="spellEnd"/>
      <w:r w:rsidRPr="00966040">
        <w:rPr>
          <w:rFonts w:eastAsia="Calibri"/>
          <w:sz w:val="18"/>
          <w:szCs w:val="18"/>
          <w:lang w:val="pl-PL"/>
        </w:rPr>
        <w:t xml:space="preserve"> and Meta-Analysis (</w:t>
      </w:r>
      <w:r w:rsidR="009F37DC" w:rsidRPr="00C26A17">
        <w:rPr>
          <w:rFonts w:eastAsia="Calibri"/>
          <w:sz w:val="18"/>
          <w:szCs w:val="18"/>
          <w:lang w:val="pl-PL"/>
        </w:rPr>
        <w:t>https://www.ncbi.nlm.nih.gov/pmc/articles/PMC4934905/</w:t>
      </w:r>
      <w:r w:rsidRPr="00C26A17">
        <w:rPr>
          <w:rFonts w:eastAsia="Calibri"/>
          <w:sz w:val="18"/>
          <w:szCs w:val="18"/>
          <w:lang w:val="pl-PL"/>
        </w:rPr>
        <w:t xml:space="preserve"> )</w:t>
      </w:r>
    </w:p>
    <w:p w14:paraId="16B936B6" w14:textId="66C4FC14" w:rsidR="002E4262" w:rsidRPr="00060165" w:rsidRDefault="009D2979" w:rsidP="00060165">
      <w:pPr>
        <w:rPr>
          <w:rFonts w:eastAsia="Calibri"/>
          <w:lang w:val="pl-PL"/>
        </w:rPr>
      </w:pPr>
      <w:r>
        <w:rPr>
          <w:rFonts w:eastAsia="Calibri"/>
          <w:lang w:val="pl-PL"/>
        </w:rPr>
        <w:t>Zaprojektowany</w:t>
      </w:r>
      <w:r w:rsidR="002E4262" w:rsidRPr="00060165">
        <w:rPr>
          <w:rFonts w:eastAsia="Calibri"/>
          <w:lang w:val="pl-PL"/>
        </w:rPr>
        <w:t xml:space="preserve"> model opieki </w:t>
      </w:r>
      <w:r>
        <w:rPr>
          <w:rFonts w:eastAsia="Calibri"/>
          <w:lang w:val="pl-PL"/>
        </w:rPr>
        <w:t>można podzielić na trzy podstawowe</w:t>
      </w:r>
      <w:r w:rsidRPr="00517788">
        <w:rPr>
          <w:rFonts w:eastAsia="Calibri"/>
          <w:lang w:val="pl-PL"/>
        </w:rPr>
        <w:t xml:space="preserve"> moduły</w:t>
      </w:r>
      <w:r w:rsidR="005E083F">
        <w:rPr>
          <w:rFonts w:eastAsia="Calibri"/>
          <w:lang w:val="pl-PL"/>
        </w:rPr>
        <w:t>, które mogą zostać zaimplementowane etapowo</w:t>
      </w:r>
      <w:r w:rsidRPr="00517788">
        <w:rPr>
          <w:rFonts w:eastAsia="Calibri"/>
          <w:lang w:val="pl-PL"/>
        </w:rPr>
        <w:t>:</w:t>
      </w:r>
    </w:p>
    <w:p w14:paraId="01669B20" w14:textId="7A765D55" w:rsidR="009D2979" w:rsidRDefault="009D2979" w:rsidP="00060165">
      <w:pPr>
        <w:pStyle w:val="EYBulletedList1"/>
        <w:numPr>
          <w:ilvl w:val="0"/>
          <w:numId w:val="11"/>
        </w:numPr>
        <w:ind w:left="289" w:hanging="289"/>
        <w:jc w:val="both"/>
        <w:rPr>
          <w:sz w:val="22"/>
          <w:szCs w:val="22"/>
          <w:lang w:val="pl-PL"/>
        </w:rPr>
      </w:pPr>
      <w:r>
        <w:rPr>
          <w:sz w:val="22"/>
          <w:szCs w:val="22"/>
          <w:lang w:val="pl-PL"/>
        </w:rPr>
        <w:t xml:space="preserve">Opieka koordynowana, czyli </w:t>
      </w:r>
      <w:r w:rsidR="00F17FA9">
        <w:rPr>
          <w:sz w:val="22"/>
          <w:szCs w:val="22"/>
          <w:lang w:val="pl-PL"/>
        </w:rPr>
        <w:t>M</w:t>
      </w:r>
      <w:r w:rsidR="002E4262" w:rsidRPr="00060165">
        <w:rPr>
          <w:sz w:val="22"/>
          <w:szCs w:val="22"/>
          <w:lang w:val="pl-PL"/>
        </w:rPr>
        <w:t xml:space="preserve">oduł </w:t>
      </w:r>
      <w:r w:rsidR="00F17FA9">
        <w:rPr>
          <w:sz w:val="22"/>
          <w:szCs w:val="22"/>
          <w:lang w:val="pl-PL"/>
        </w:rPr>
        <w:t xml:space="preserve">A i Moduł AA </w:t>
      </w:r>
      <w:r>
        <w:rPr>
          <w:sz w:val="22"/>
          <w:szCs w:val="22"/>
          <w:lang w:val="pl-PL"/>
        </w:rPr>
        <w:t>obejmując</w:t>
      </w:r>
      <w:r w:rsidR="00F17FA9">
        <w:rPr>
          <w:sz w:val="22"/>
          <w:szCs w:val="22"/>
          <w:lang w:val="pl-PL"/>
        </w:rPr>
        <w:t>e</w:t>
      </w:r>
      <w:r>
        <w:rPr>
          <w:sz w:val="22"/>
          <w:szCs w:val="22"/>
          <w:lang w:val="pl-PL"/>
        </w:rPr>
        <w:t xml:space="preserve"> pacjentów dializowanych oraz:</w:t>
      </w:r>
    </w:p>
    <w:p w14:paraId="4C72DE09" w14:textId="52CA22D1" w:rsidR="009D2979" w:rsidRDefault="009D2979" w:rsidP="00060165">
      <w:pPr>
        <w:pStyle w:val="EYBulletedList1"/>
        <w:numPr>
          <w:ilvl w:val="1"/>
          <w:numId w:val="11"/>
        </w:numPr>
        <w:jc w:val="both"/>
        <w:rPr>
          <w:sz w:val="22"/>
          <w:szCs w:val="22"/>
          <w:lang w:val="pl-PL"/>
        </w:rPr>
      </w:pPr>
      <w:r w:rsidRPr="00C32441">
        <w:rPr>
          <w:sz w:val="22"/>
          <w:szCs w:val="22"/>
          <w:lang w:val="pl-PL"/>
        </w:rPr>
        <w:t>wprowadzenie</w:t>
      </w:r>
      <w:r w:rsidR="002E4262" w:rsidRPr="00060165">
        <w:rPr>
          <w:sz w:val="22"/>
          <w:szCs w:val="22"/>
          <w:lang w:val="pl-PL"/>
        </w:rPr>
        <w:t xml:space="preserve"> nowej organizacji opieki nad pacjentem dializowanym</w:t>
      </w:r>
      <w:r>
        <w:rPr>
          <w:sz w:val="22"/>
          <w:szCs w:val="22"/>
          <w:lang w:val="pl-PL"/>
        </w:rPr>
        <w:t xml:space="preserve"> -</w:t>
      </w:r>
      <w:r w:rsidR="002E4262" w:rsidRPr="00060165">
        <w:rPr>
          <w:sz w:val="22"/>
          <w:szCs w:val="22"/>
          <w:lang w:val="pl-PL"/>
        </w:rPr>
        <w:t xml:space="preserve"> scalenie ról poradni nefrologicznych</w:t>
      </w:r>
      <w:r w:rsidR="00253A3F">
        <w:rPr>
          <w:sz w:val="22"/>
          <w:szCs w:val="22"/>
          <w:lang w:val="pl-PL"/>
        </w:rPr>
        <w:t xml:space="preserve"> w obszarze opieki nad pacjentami w zaawansowanym stadium </w:t>
      </w:r>
      <w:proofErr w:type="spellStart"/>
      <w:r w:rsidR="00253A3F">
        <w:rPr>
          <w:sz w:val="22"/>
          <w:szCs w:val="22"/>
          <w:lang w:val="pl-PL"/>
        </w:rPr>
        <w:t>PChN</w:t>
      </w:r>
      <w:proofErr w:type="spellEnd"/>
      <w:r w:rsidR="002E4262" w:rsidRPr="00060165">
        <w:rPr>
          <w:sz w:val="22"/>
          <w:szCs w:val="22"/>
          <w:lang w:val="pl-PL"/>
        </w:rPr>
        <w:t xml:space="preserve"> i stacji dializ</w:t>
      </w:r>
      <w:r w:rsidR="00F75992">
        <w:rPr>
          <w:sz w:val="22"/>
          <w:szCs w:val="22"/>
          <w:lang w:val="pl-PL"/>
        </w:rPr>
        <w:t>, a</w:t>
      </w:r>
      <w:r w:rsidR="002E4262" w:rsidRPr="00060165">
        <w:rPr>
          <w:sz w:val="22"/>
          <w:szCs w:val="22"/>
          <w:lang w:val="pl-PL"/>
        </w:rPr>
        <w:t xml:space="preserve"> tym samym wprowadzenie jednostki koordynującej odpowiedzial</w:t>
      </w:r>
      <w:r w:rsidR="00DF525E" w:rsidRPr="00C32441">
        <w:rPr>
          <w:sz w:val="22"/>
          <w:szCs w:val="22"/>
          <w:lang w:val="pl-PL"/>
        </w:rPr>
        <w:t>nej za proces i wyniki leczenia</w:t>
      </w:r>
    </w:p>
    <w:p w14:paraId="6F340A4E" w14:textId="77777777" w:rsidR="006743A5" w:rsidRPr="00060165" w:rsidRDefault="006743A5" w:rsidP="006743A5">
      <w:pPr>
        <w:pStyle w:val="EYBulletedList1"/>
        <w:numPr>
          <w:ilvl w:val="1"/>
          <w:numId w:val="11"/>
        </w:numPr>
        <w:jc w:val="both"/>
        <w:rPr>
          <w:sz w:val="22"/>
          <w:szCs w:val="22"/>
          <w:lang w:val="pl-PL"/>
        </w:rPr>
      </w:pPr>
      <w:r>
        <w:rPr>
          <w:sz w:val="22"/>
          <w:szCs w:val="22"/>
          <w:lang w:val="pl-PL"/>
        </w:rPr>
        <w:t xml:space="preserve">wprowadzenie </w:t>
      </w:r>
      <w:r w:rsidRPr="00060165">
        <w:rPr>
          <w:sz w:val="22"/>
          <w:szCs w:val="22"/>
          <w:lang w:val="pl-PL"/>
        </w:rPr>
        <w:t xml:space="preserve">roli koordynatora wspierającego prowadzenie opieki i zarządzanie środkami publicznymi przeznaczonymi na leczenie </w:t>
      </w:r>
    </w:p>
    <w:p w14:paraId="382265BE" w14:textId="4CDF677A" w:rsidR="009D2979" w:rsidRDefault="009D2979" w:rsidP="00060165">
      <w:pPr>
        <w:pStyle w:val="EYBulletedList1"/>
        <w:numPr>
          <w:ilvl w:val="1"/>
          <w:numId w:val="11"/>
        </w:numPr>
        <w:jc w:val="both"/>
        <w:rPr>
          <w:sz w:val="22"/>
          <w:szCs w:val="22"/>
          <w:lang w:val="pl-PL"/>
        </w:rPr>
      </w:pPr>
      <w:r w:rsidRPr="00C32441">
        <w:rPr>
          <w:sz w:val="22"/>
          <w:szCs w:val="22"/>
          <w:lang w:val="pl-PL"/>
        </w:rPr>
        <w:t>wprowadzenie</w:t>
      </w:r>
      <w:r w:rsidR="002E4262" w:rsidRPr="00060165">
        <w:rPr>
          <w:sz w:val="22"/>
          <w:szCs w:val="22"/>
          <w:lang w:val="pl-PL"/>
        </w:rPr>
        <w:t xml:space="preserve"> nefrologicznych porad w cyklu co dwa tygodnie</w:t>
      </w:r>
      <w:r w:rsidR="009F37DC">
        <w:rPr>
          <w:sz w:val="22"/>
          <w:szCs w:val="22"/>
          <w:lang w:val="pl-PL"/>
        </w:rPr>
        <w:t xml:space="preserve"> realizowanych w te same dni, w które realizowana jest dializoterapia</w:t>
      </w:r>
      <w:r w:rsidR="002E4262" w:rsidRPr="00060165">
        <w:rPr>
          <w:sz w:val="22"/>
          <w:szCs w:val="22"/>
          <w:lang w:val="pl-PL"/>
        </w:rPr>
        <w:t xml:space="preserve"> </w:t>
      </w:r>
      <w:r w:rsidR="00F17FA9">
        <w:rPr>
          <w:sz w:val="22"/>
          <w:szCs w:val="22"/>
          <w:lang w:val="pl-PL"/>
        </w:rPr>
        <w:t>(</w:t>
      </w:r>
      <w:r w:rsidR="006743A5">
        <w:rPr>
          <w:sz w:val="22"/>
          <w:szCs w:val="22"/>
          <w:lang w:val="pl-PL"/>
        </w:rPr>
        <w:t>założenie</w:t>
      </w:r>
      <w:r w:rsidR="00F17FA9">
        <w:rPr>
          <w:sz w:val="22"/>
          <w:szCs w:val="22"/>
          <w:lang w:val="pl-PL"/>
        </w:rPr>
        <w:t xml:space="preserve"> Modu</w:t>
      </w:r>
      <w:r w:rsidR="006743A5">
        <w:rPr>
          <w:sz w:val="22"/>
          <w:szCs w:val="22"/>
          <w:lang w:val="pl-PL"/>
        </w:rPr>
        <w:t>łu</w:t>
      </w:r>
      <w:r w:rsidR="00F17FA9">
        <w:rPr>
          <w:sz w:val="22"/>
          <w:szCs w:val="22"/>
          <w:lang w:val="pl-PL"/>
        </w:rPr>
        <w:t xml:space="preserve"> A)</w:t>
      </w:r>
    </w:p>
    <w:p w14:paraId="0BE5B2F1" w14:textId="72B5A13F" w:rsidR="009D2979" w:rsidRPr="00C32441" w:rsidRDefault="009D2979" w:rsidP="00060165">
      <w:pPr>
        <w:pStyle w:val="EYBulletedList1"/>
        <w:numPr>
          <w:ilvl w:val="0"/>
          <w:numId w:val="11"/>
        </w:numPr>
        <w:ind w:left="289" w:hanging="289"/>
        <w:jc w:val="both"/>
        <w:rPr>
          <w:sz w:val="22"/>
          <w:szCs w:val="22"/>
          <w:lang w:val="pl-PL"/>
        </w:rPr>
      </w:pPr>
      <w:r>
        <w:rPr>
          <w:sz w:val="22"/>
          <w:szCs w:val="22"/>
          <w:lang w:val="pl-PL"/>
        </w:rPr>
        <w:t xml:space="preserve">Opieka koordynowana+, czyli </w:t>
      </w:r>
      <w:r w:rsidRPr="00C32441">
        <w:rPr>
          <w:sz w:val="22"/>
          <w:szCs w:val="22"/>
          <w:lang w:val="pl-PL"/>
        </w:rPr>
        <w:t>Moduł B</w:t>
      </w:r>
      <w:r>
        <w:rPr>
          <w:sz w:val="22"/>
          <w:szCs w:val="22"/>
          <w:lang w:val="pl-PL"/>
        </w:rPr>
        <w:t xml:space="preserve"> obejmujący pacjentów dializowanych oraz:</w:t>
      </w:r>
    </w:p>
    <w:p w14:paraId="496D20A6" w14:textId="7DEA10C1" w:rsidR="002E4262" w:rsidRPr="00060165" w:rsidRDefault="002E4262" w:rsidP="00060165">
      <w:pPr>
        <w:pStyle w:val="EYBulletedList1"/>
        <w:numPr>
          <w:ilvl w:val="1"/>
          <w:numId w:val="11"/>
        </w:numPr>
        <w:jc w:val="both"/>
        <w:rPr>
          <w:sz w:val="22"/>
          <w:szCs w:val="22"/>
          <w:lang w:val="pl-PL"/>
        </w:rPr>
      </w:pPr>
      <w:r w:rsidRPr="00060165">
        <w:rPr>
          <w:sz w:val="22"/>
          <w:szCs w:val="22"/>
          <w:lang w:val="pl-PL"/>
        </w:rPr>
        <w:t xml:space="preserve">wprowadzenie wsparcia leczenia nerkozastępczego świadczeniami uzupełniającymi w postaci porad dietetyka, porad psychologa, edukacji oraz opieki fizjoterapeuty. </w:t>
      </w:r>
    </w:p>
    <w:p w14:paraId="5CFCC2F1" w14:textId="1638A5A1" w:rsidR="00DF525E" w:rsidRDefault="00DF525E" w:rsidP="00060165">
      <w:pPr>
        <w:pStyle w:val="EYBulletedList1"/>
        <w:numPr>
          <w:ilvl w:val="0"/>
          <w:numId w:val="11"/>
        </w:numPr>
        <w:ind w:left="289" w:hanging="289"/>
        <w:jc w:val="both"/>
        <w:rPr>
          <w:szCs w:val="22"/>
          <w:lang w:val="pl-PL"/>
        </w:rPr>
      </w:pPr>
      <w:r>
        <w:rPr>
          <w:sz w:val="22"/>
          <w:szCs w:val="22"/>
          <w:lang w:val="pl-PL"/>
        </w:rPr>
        <w:t>Opieka koordynowana pacjentów w okresie pr</w:t>
      </w:r>
      <w:r w:rsidR="00B67D34">
        <w:rPr>
          <w:sz w:val="22"/>
          <w:szCs w:val="22"/>
          <w:lang w:val="pl-PL"/>
        </w:rPr>
        <w:t>z</w:t>
      </w:r>
      <w:r>
        <w:rPr>
          <w:sz w:val="22"/>
          <w:szCs w:val="22"/>
          <w:lang w:val="pl-PL"/>
        </w:rPr>
        <w:t>e</w:t>
      </w:r>
      <w:r w:rsidR="00182175">
        <w:rPr>
          <w:sz w:val="22"/>
          <w:szCs w:val="22"/>
          <w:lang w:val="pl-PL"/>
        </w:rPr>
        <w:t xml:space="preserve">d </w:t>
      </w:r>
      <w:r>
        <w:rPr>
          <w:sz w:val="22"/>
          <w:szCs w:val="22"/>
          <w:lang w:val="pl-PL"/>
        </w:rPr>
        <w:t xml:space="preserve">dializacyjnym, czyli </w:t>
      </w:r>
      <w:r w:rsidR="002E4262" w:rsidRPr="00060165">
        <w:rPr>
          <w:sz w:val="22"/>
          <w:szCs w:val="22"/>
          <w:lang w:val="pl-PL"/>
        </w:rPr>
        <w:t>Moduł C</w:t>
      </w:r>
      <w:r>
        <w:rPr>
          <w:sz w:val="22"/>
          <w:szCs w:val="22"/>
          <w:lang w:val="pl-PL"/>
        </w:rPr>
        <w:t xml:space="preserve"> obejmujący:</w:t>
      </w:r>
    </w:p>
    <w:p w14:paraId="33BE1317" w14:textId="2FBF423F" w:rsidR="002E4262" w:rsidRPr="00517788" w:rsidRDefault="00DF525E" w:rsidP="00060165">
      <w:pPr>
        <w:pStyle w:val="EYBulletedList1"/>
        <w:numPr>
          <w:ilvl w:val="1"/>
          <w:numId w:val="11"/>
        </w:numPr>
        <w:jc w:val="both"/>
        <w:rPr>
          <w:szCs w:val="22"/>
          <w:lang w:val="pl-PL"/>
        </w:rPr>
      </w:pPr>
      <w:r w:rsidRPr="00060165">
        <w:rPr>
          <w:sz w:val="22"/>
          <w:szCs w:val="22"/>
          <w:lang w:val="pl-PL"/>
        </w:rPr>
        <w:t xml:space="preserve">trzy </w:t>
      </w:r>
      <w:r w:rsidR="00182175">
        <w:rPr>
          <w:sz w:val="22"/>
          <w:szCs w:val="22"/>
          <w:lang w:val="pl-PL"/>
        </w:rPr>
        <w:t>warianty</w:t>
      </w:r>
      <w:r w:rsidR="00182175" w:rsidRPr="00060165">
        <w:rPr>
          <w:sz w:val="22"/>
          <w:szCs w:val="22"/>
          <w:lang w:val="pl-PL"/>
        </w:rPr>
        <w:t xml:space="preserve"> </w:t>
      </w:r>
      <w:r w:rsidRPr="00060165">
        <w:rPr>
          <w:sz w:val="22"/>
          <w:szCs w:val="22"/>
          <w:lang w:val="pl-PL"/>
        </w:rPr>
        <w:t>populacyjne</w:t>
      </w:r>
    </w:p>
    <w:p w14:paraId="416741E9" w14:textId="01290000" w:rsidR="00DF525E" w:rsidRDefault="00182175" w:rsidP="00060165">
      <w:pPr>
        <w:pStyle w:val="EYBulletedList1"/>
        <w:numPr>
          <w:ilvl w:val="2"/>
          <w:numId w:val="11"/>
        </w:numPr>
        <w:jc w:val="both"/>
        <w:rPr>
          <w:szCs w:val="22"/>
          <w:lang w:val="pl-PL"/>
        </w:rPr>
      </w:pPr>
      <w:r>
        <w:rPr>
          <w:sz w:val="22"/>
          <w:szCs w:val="22"/>
          <w:lang w:val="pl-PL"/>
        </w:rPr>
        <w:t>C</w:t>
      </w:r>
      <w:r w:rsidR="00DF525E">
        <w:rPr>
          <w:sz w:val="22"/>
          <w:szCs w:val="22"/>
          <w:lang w:val="pl-PL"/>
        </w:rPr>
        <w:t xml:space="preserve">1 </w:t>
      </w:r>
      <w:r>
        <w:rPr>
          <w:sz w:val="22"/>
          <w:szCs w:val="22"/>
          <w:lang w:val="pl-PL"/>
        </w:rPr>
        <w:t xml:space="preserve">- </w:t>
      </w:r>
      <w:r w:rsidR="00DF525E">
        <w:rPr>
          <w:sz w:val="22"/>
          <w:szCs w:val="22"/>
          <w:lang w:val="pl-PL"/>
        </w:rPr>
        <w:t>pacjenci w CKD 3b, CKD 4, CKD 5 – powyżej 217 tysięcy chorych</w:t>
      </w:r>
    </w:p>
    <w:p w14:paraId="6A5F0940" w14:textId="2F7BACBF" w:rsidR="00DF525E" w:rsidRDefault="00182175" w:rsidP="00060165">
      <w:pPr>
        <w:pStyle w:val="EYBulletedList1"/>
        <w:numPr>
          <w:ilvl w:val="2"/>
          <w:numId w:val="11"/>
        </w:numPr>
        <w:jc w:val="both"/>
        <w:rPr>
          <w:szCs w:val="22"/>
          <w:lang w:val="pl-PL"/>
        </w:rPr>
      </w:pPr>
      <w:r>
        <w:rPr>
          <w:sz w:val="22"/>
          <w:szCs w:val="22"/>
          <w:lang w:val="pl-PL"/>
        </w:rPr>
        <w:t>C</w:t>
      </w:r>
      <w:r w:rsidR="00DF525E">
        <w:rPr>
          <w:sz w:val="22"/>
          <w:szCs w:val="22"/>
          <w:lang w:val="pl-PL"/>
        </w:rPr>
        <w:t>2 - pacjenci w CKD 4 i CKD 5 – powyżej 63,5 tysiąca chorych</w:t>
      </w:r>
    </w:p>
    <w:p w14:paraId="4A058352" w14:textId="369ED741" w:rsidR="00DF525E" w:rsidRPr="00517788" w:rsidRDefault="00182175" w:rsidP="00060165">
      <w:pPr>
        <w:pStyle w:val="EYBulletedList1"/>
        <w:numPr>
          <w:ilvl w:val="2"/>
          <w:numId w:val="11"/>
        </w:numPr>
        <w:jc w:val="both"/>
        <w:rPr>
          <w:szCs w:val="22"/>
          <w:lang w:val="pl-PL"/>
        </w:rPr>
      </w:pPr>
      <w:r>
        <w:rPr>
          <w:sz w:val="22"/>
          <w:szCs w:val="22"/>
          <w:lang w:val="pl-PL"/>
        </w:rPr>
        <w:t>C</w:t>
      </w:r>
      <w:r w:rsidR="00DF525E">
        <w:rPr>
          <w:sz w:val="22"/>
          <w:szCs w:val="22"/>
          <w:lang w:val="pl-PL"/>
        </w:rPr>
        <w:t>3 - pacjenci w CKD 4 A3 i CKD 5 – powyżej 36 tysięcy chorych</w:t>
      </w:r>
    </w:p>
    <w:p w14:paraId="6E1C20C5" w14:textId="77777777" w:rsidR="00DF525E" w:rsidRPr="00DF525E" w:rsidRDefault="00DF525E" w:rsidP="00DF525E">
      <w:pPr>
        <w:pStyle w:val="EYBulletedList1"/>
        <w:numPr>
          <w:ilvl w:val="1"/>
          <w:numId w:val="11"/>
        </w:numPr>
        <w:rPr>
          <w:sz w:val="22"/>
          <w:szCs w:val="22"/>
          <w:lang w:val="pl-PL"/>
        </w:rPr>
      </w:pPr>
      <w:r>
        <w:rPr>
          <w:sz w:val="22"/>
          <w:szCs w:val="22"/>
          <w:lang w:val="pl-PL"/>
        </w:rPr>
        <w:t>p</w:t>
      </w:r>
      <w:r w:rsidRPr="00DF525E">
        <w:rPr>
          <w:sz w:val="22"/>
          <w:szCs w:val="22"/>
          <w:lang w:val="pl-PL"/>
        </w:rPr>
        <w:t>rzekazanie odpowiedzialności za wyniki leczenia tej populacji jednostkom koordynującym</w:t>
      </w:r>
    </w:p>
    <w:p w14:paraId="009EC47D" w14:textId="77777777" w:rsidR="00DF525E" w:rsidRPr="00D524D5" w:rsidRDefault="00DF525E" w:rsidP="00DF525E">
      <w:pPr>
        <w:pStyle w:val="EYBulletedList1"/>
        <w:numPr>
          <w:ilvl w:val="1"/>
          <w:numId w:val="11"/>
        </w:numPr>
        <w:jc w:val="both"/>
        <w:rPr>
          <w:sz w:val="22"/>
          <w:szCs w:val="22"/>
          <w:lang w:val="pl-PL"/>
        </w:rPr>
      </w:pPr>
      <w:r>
        <w:rPr>
          <w:sz w:val="22"/>
          <w:szCs w:val="22"/>
          <w:lang w:val="pl-PL"/>
        </w:rPr>
        <w:t xml:space="preserve">wprowadzenie </w:t>
      </w:r>
      <w:r w:rsidRPr="00D524D5">
        <w:rPr>
          <w:sz w:val="22"/>
          <w:szCs w:val="22"/>
          <w:lang w:val="pl-PL"/>
        </w:rPr>
        <w:t xml:space="preserve">roli koordynatora wspierającego prowadzenie opieki i zarządzanie środkami publicznymi przeznaczonymi na leczenie </w:t>
      </w:r>
    </w:p>
    <w:p w14:paraId="63A14149" w14:textId="746216BF" w:rsidR="00DF525E" w:rsidRDefault="00DF525E" w:rsidP="00060165">
      <w:pPr>
        <w:pStyle w:val="EYBulletedList1"/>
        <w:numPr>
          <w:ilvl w:val="1"/>
          <w:numId w:val="11"/>
        </w:numPr>
        <w:jc w:val="both"/>
        <w:rPr>
          <w:szCs w:val="22"/>
          <w:lang w:val="pl-PL"/>
        </w:rPr>
      </w:pPr>
      <w:r>
        <w:rPr>
          <w:sz w:val="22"/>
          <w:szCs w:val="22"/>
          <w:lang w:val="pl-PL"/>
        </w:rPr>
        <w:lastRenderedPageBreak/>
        <w:t>w</w:t>
      </w:r>
      <w:r w:rsidRPr="00DF525E">
        <w:rPr>
          <w:sz w:val="22"/>
          <w:szCs w:val="22"/>
          <w:lang w:val="pl-PL"/>
        </w:rPr>
        <w:t>prowadzenie porad dietetyka, porad psychologa, edukacji i opieki fizjoterapeuty dla tej populacji pacjentów</w:t>
      </w:r>
    </w:p>
    <w:p w14:paraId="3C6584F8" w14:textId="051B95AF" w:rsidR="005E083F" w:rsidRPr="00060165" w:rsidRDefault="005E083F" w:rsidP="00060165">
      <w:pPr>
        <w:pStyle w:val="Legenda"/>
        <w:keepNext/>
        <w:rPr>
          <w:b/>
          <w:i w:val="0"/>
          <w:color w:val="auto"/>
          <w:lang w:val="pl-PL"/>
        </w:rPr>
      </w:pPr>
      <w:bookmarkStart w:id="5" w:name="_Toc486537959"/>
      <w:r w:rsidRPr="00060165">
        <w:rPr>
          <w:b/>
          <w:i w:val="0"/>
          <w:color w:val="auto"/>
          <w:lang w:val="pl-PL"/>
        </w:rPr>
        <w:t xml:space="preserve">Rysunek </w:t>
      </w:r>
      <w:r w:rsidRPr="00060165">
        <w:rPr>
          <w:b/>
          <w:i w:val="0"/>
          <w:color w:val="auto"/>
          <w:lang w:val="pl-PL"/>
        </w:rPr>
        <w:fldChar w:fldCharType="begin"/>
      </w:r>
      <w:r w:rsidRPr="00060165">
        <w:rPr>
          <w:b/>
          <w:i w:val="0"/>
          <w:color w:val="auto"/>
          <w:lang w:val="pl-PL"/>
        </w:rPr>
        <w:instrText xml:space="preserve"> SEQ Rysunek \* ARABIC </w:instrText>
      </w:r>
      <w:r w:rsidRPr="00060165">
        <w:rPr>
          <w:b/>
          <w:i w:val="0"/>
          <w:color w:val="auto"/>
          <w:lang w:val="pl-PL"/>
        </w:rPr>
        <w:fldChar w:fldCharType="separate"/>
      </w:r>
      <w:r w:rsidR="005C7285">
        <w:rPr>
          <w:b/>
          <w:i w:val="0"/>
          <w:noProof/>
          <w:color w:val="auto"/>
          <w:lang w:val="pl-PL"/>
        </w:rPr>
        <w:t>3</w:t>
      </w:r>
      <w:r w:rsidRPr="00060165">
        <w:rPr>
          <w:b/>
          <w:i w:val="0"/>
          <w:color w:val="auto"/>
          <w:lang w:val="pl-PL"/>
        </w:rPr>
        <w:fldChar w:fldCharType="end"/>
      </w:r>
      <w:r w:rsidRPr="00060165">
        <w:rPr>
          <w:b/>
          <w:i w:val="0"/>
          <w:color w:val="auto"/>
          <w:lang w:val="pl-PL"/>
        </w:rPr>
        <w:t xml:space="preserve"> Moduły zaprojektowanego modelu opieki koordynowanej nad pacjentem w zaawansowanym stadium </w:t>
      </w:r>
      <w:proofErr w:type="spellStart"/>
      <w:r w:rsidRPr="00060165">
        <w:rPr>
          <w:b/>
          <w:i w:val="0"/>
          <w:color w:val="auto"/>
          <w:lang w:val="pl-PL"/>
        </w:rPr>
        <w:t>PChN</w:t>
      </w:r>
      <w:bookmarkEnd w:id="5"/>
      <w:proofErr w:type="spellEnd"/>
    </w:p>
    <w:p w14:paraId="7F33886F" w14:textId="5A63B173" w:rsidR="005E083F" w:rsidRDefault="00182175" w:rsidP="00060165">
      <w:pPr>
        <w:pStyle w:val="EYBulletedList1"/>
        <w:numPr>
          <w:ilvl w:val="0"/>
          <w:numId w:val="0"/>
        </w:numPr>
        <w:ind w:left="288" w:hanging="288"/>
        <w:jc w:val="both"/>
        <w:rPr>
          <w:szCs w:val="22"/>
          <w:lang w:val="pl-PL"/>
        </w:rPr>
      </w:pPr>
      <w:r>
        <w:rPr>
          <w:noProof/>
          <w:szCs w:val="22"/>
          <w:lang w:val="pl-PL" w:eastAsia="pl-PL"/>
        </w:rPr>
        <w:drawing>
          <wp:inline distT="0" distB="0" distL="0" distR="0" wp14:anchorId="1EEFC8E3" wp14:editId="4FE2021E">
            <wp:extent cx="6181200" cy="3340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1200" cy="3340800"/>
                    </a:xfrm>
                    <a:prstGeom prst="rect">
                      <a:avLst/>
                    </a:prstGeom>
                    <a:noFill/>
                  </pic:spPr>
                </pic:pic>
              </a:graphicData>
            </a:graphic>
          </wp:inline>
        </w:drawing>
      </w:r>
    </w:p>
    <w:p w14:paraId="62A0F8C7" w14:textId="7FE45773" w:rsidR="005E083F" w:rsidRPr="00060165" w:rsidRDefault="005E083F" w:rsidP="00060165">
      <w:pPr>
        <w:pStyle w:val="EYBulletedList1"/>
        <w:numPr>
          <w:ilvl w:val="0"/>
          <w:numId w:val="0"/>
        </w:numPr>
        <w:ind w:left="288" w:hanging="288"/>
        <w:jc w:val="both"/>
        <w:rPr>
          <w:sz w:val="18"/>
          <w:szCs w:val="18"/>
          <w:lang w:val="pl-PL"/>
        </w:rPr>
      </w:pPr>
      <w:r w:rsidRPr="00060165">
        <w:rPr>
          <w:sz w:val="18"/>
          <w:szCs w:val="18"/>
          <w:lang w:val="pl-PL"/>
        </w:rPr>
        <w:t>Źródło: Opracowanie własne EY</w:t>
      </w:r>
    </w:p>
    <w:p w14:paraId="2B573953" w14:textId="77777777" w:rsidR="005E083F" w:rsidRDefault="005E083F">
      <w:pPr>
        <w:rPr>
          <w:rFonts w:eastAsia="Calibri"/>
          <w:lang w:val="pl-PL"/>
        </w:rPr>
      </w:pPr>
    </w:p>
    <w:p w14:paraId="33EEC725" w14:textId="180030FA" w:rsidR="00DF525E" w:rsidRPr="00C32441" w:rsidRDefault="005E083F">
      <w:pPr>
        <w:rPr>
          <w:rFonts w:eastAsia="Calibri"/>
          <w:lang w:val="pl-PL"/>
        </w:rPr>
      </w:pPr>
      <w:r>
        <w:rPr>
          <w:rFonts w:eastAsia="Calibri"/>
          <w:lang w:val="pl-PL"/>
        </w:rPr>
        <w:t>Dla</w:t>
      </w:r>
      <w:r w:rsidR="00DF525E">
        <w:rPr>
          <w:rFonts w:eastAsia="Calibri"/>
          <w:lang w:val="pl-PL"/>
        </w:rPr>
        <w:t xml:space="preserve"> </w:t>
      </w:r>
      <w:r w:rsidR="00DF525E" w:rsidRPr="00060165">
        <w:rPr>
          <w:rFonts w:eastAsia="Calibri"/>
          <w:lang w:val="pl-PL"/>
        </w:rPr>
        <w:t>wymienionych modułów oszacowano roczne koszty opieki dla indywidualnego pacjenta</w:t>
      </w:r>
      <w:r w:rsidR="00DF525E" w:rsidRPr="00C32441">
        <w:rPr>
          <w:rFonts w:eastAsia="Calibri"/>
          <w:lang w:val="pl-PL"/>
        </w:rPr>
        <w:t>:</w:t>
      </w:r>
    </w:p>
    <w:p w14:paraId="6DA7C40E" w14:textId="23BB6ADF" w:rsidR="00DF525E" w:rsidRDefault="00C32441" w:rsidP="00060165">
      <w:pPr>
        <w:pStyle w:val="EYBulletedList1"/>
        <w:numPr>
          <w:ilvl w:val="1"/>
          <w:numId w:val="11"/>
        </w:numPr>
        <w:jc w:val="both"/>
        <w:rPr>
          <w:szCs w:val="22"/>
          <w:lang w:val="pl-PL"/>
        </w:rPr>
      </w:pPr>
      <w:r w:rsidRPr="00182175">
        <w:rPr>
          <w:b/>
          <w:sz w:val="22"/>
          <w:szCs w:val="22"/>
          <w:lang w:val="pl-PL"/>
        </w:rPr>
        <w:t>w</w:t>
      </w:r>
      <w:r w:rsidR="00DF525E" w:rsidRPr="00182175">
        <w:rPr>
          <w:b/>
          <w:sz w:val="22"/>
          <w:szCs w:val="22"/>
          <w:lang w:val="pl-PL"/>
        </w:rPr>
        <w:t xml:space="preserve"> scenariuszu 1</w:t>
      </w:r>
      <w:r w:rsidR="00DF525E" w:rsidRPr="00060165">
        <w:rPr>
          <w:sz w:val="22"/>
          <w:szCs w:val="22"/>
          <w:lang w:val="pl-PL"/>
        </w:rPr>
        <w:t>, czyli w najszerszym</w:t>
      </w:r>
      <w:r w:rsidRPr="00C32441">
        <w:rPr>
          <w:sz w:val="22"/>
          <w:szCs w:val="22"/>
          <w:lang w:val="pl-PL"/>
        </w:rPr>
        <w:t xml:space="preserve"> </w:t>
      </w:r>
      <w:r w:rsidRPr="000A2A42">
        <w:rPr>
          <w:sz w:val="22"/>
          <w:szCs w:val="22"/>
          <w:lang w:val="pl-PL"/>
        </w:rPr>
        <w:t>podejściu</w:t>
      </w:r>
      <w:r>
        <w:rPr>
          <w:sz w:val="22"/>
          <w:szCs w:val="22"/>
          <w:lang w:val="pl-PL"/>
        </w:rPr>
        <w:t xml:space="preserve"> populacyjnym i przy </w:t>
      </w:r>
      <w:r w:rsidRPr="00060165">
        <w:rPr>
          <w:sz w:val="22"/>
          <w:szCs w:val="22"/>
          <w:lang w:val="pl-PL"/>
        </w:rPr>
        <w:t>uwzględnieniu</w:t>
      </w:r>
      <w:r w:rsidR="00DF525E" w:rsidRPr="00060165">
        <w:rPr>
          <w:sz w:val="22"/>
          <w:szCs w:val="22"/>
          <w:lang w:val="pl-PL"/>
        </w:rPr>
        <w:t xml:space="preserve"> zakresu wszystkich trzech modułów (A, B, C)</w:t>
      </w:r>
      <w:r>
        <w:rPr>
          <w:sz w:val="22"/>
          <w:szCs w:val="22"/>
          <w:lang w:val="pl-PL"/>
        </w:rPr>
        <w:t>,</w:t>
      </w:r>
      <w:r w:rsidR="00DF525E" w:rsidRPr="00060165">
        <w:rPr>
          <w:sz w:val="22"/>
          <w:szCs w:val="22"/>
          <w:lang w:val="pl-PL"/>
        </w:rPr>
        <w:t xml:space="preserve"> roczny koszt opieki przypadający na jednego pacjenta to około 7 tysięcy PLN</w:t>
      </w:r>
      <w:r w:rsidR="00257433">
        <w:rPr>
          <w:sz w:val="22"/>
          <w:szCs w:val="22"/>
          <w:lang w:val="pl-PL"/>
        </w:rPr>
        <w:t>, a w przypadku uwzględnienia wariantu z modułem AA zamiast modułu A - około 6,8 tysiąca PLN</w:t>
      </w:r>
    </w:p>
    <w:p w14:paraId="29609F72" w14:textId="79CAB9E9" w:rsidR="00C32441" w:rsidRDefault="00C32441" w:rsidP="00C32441">
      <w:pPr>
        <w:pStyle w:val="EYBulletedList1"/>
        <w:numPr>
          <w:ilvl w:val="1"/>
          <w:numId w:val="11"/>
        </w:numPr>
        <w:jc w:val="both"/>
        <w:rPr>
          <w:sz w:val="22"/>
          <w:szCs w:val="22"/>
          <w:lang w:val="pl-PL"/>
        </w:rPr>
      </w:pPr>
      <w:r w:rsidRPr="00182175">
        <w:rPr>
          <w:b/>
          <w:sz w:val="22"/>
          <w:szCs w:val="22"/>
          <w:lang w:val="pl-PL"/>
        </w:rPr>
        <w:t>w scenariuszu 2</w:t>
      </w:r>
      <w:r w:rsidRPr="00D524D5">
        <w:rPr>
          <w:sz w:val="22"/>
          <w:szCs w:val="22"/>
          <w:lang w:val="pl-PL"/>
        </w:rPr>
        <w:t xml:space="preserve">, czyli w </w:t>
      </w:r>
      <w:r w:rsidRPr="000A2A42">
        <w:rPr>
          <w:sz w:val="22"/>
          <w:szCs w:val="22"/>
          <w:lang w:val="pl-PL"/>
        </w:rPr>
        <w:t>podejściu</w:t>
      </w:r>
      <w:r>
        <w:rPr>
          <w:sz w:val="22"/>
          <w:szCs w:val="22"/>
          <w:lang w:val="pl-PL"/>
        </w:rPr>
        <w:t xml:space="preserve"> obejmującym pacjentów z grupy CKD 4, CKD 5 oraz pacjentów dializowanych i przy </w:t>
      </w:r>
      <w:r w:rsidRPr="00D524D5">
        <w:rPr>
          <w:sz w:val="22"/>
          <w:szCs w:val="22"/>
          <w:lang w:val="pl-PL"/>
        </w:rPr>
        <w:t>uwzględnieniu zakresu wszystkich trzech modułów (A, B, C)</w:t>
      </w:r>
      <w:r>
        <w:rPr>
          <w:sz w:val="22"/>
          <w:szCs w:val="22"/>
          <w:lang w:val="pl-PL"/>
        </w:rPr>
        <w:t>,</w:t>
      </w:r>
      <w:r w:rsidRPr="00D524D5">
        <w:rPr>
          <w:sz w:val="22"/>
          <w:szCs w:val="22"/>
          <w:lang w:val="pl-PL"/>
        </w:rPr>
        <w:t xml:space="preserve"> roczny koszt opieki przypadający na jednego pac</w:t>
      </w:r>
      <w:r>
        <w:rPr>
          <w:sz w:val="22"/>
          <w:szCs w:val="22"/>
          <w:lang w:val="pl-PL"/>
        </w:rPr>
        <w:t xml:space="preserve">jenta to około 18,3 tysiąca </w:t>
      </w:r>
      <w:r w:rsidRPr="00D524D5">
        <w:rPr>
          <w:sz w:val="22"/>
          <w:szCs w:val="22"/>
          <w:lang w:val="pl-PL"/>
        </w:rPr>
        <w:t>PLN</w:t>
      </w:r>
      <w:r w:rsidR="00257433">
        <w:rPr>
          <w:sz w:val="22"/>
          <w:szCs w:val="22"/>
          <w:lang w:val="pl-PL"/>
        </w:rPr>
        <w:t>, a w przypadku uwzględnienia wariantu z modułem AA zamiast modułu A - około 17,8 tysiąca PLN</w:t>
      </w:r>
    </w:p>
    <w:p w14:paraId="764008D5" w14:textId="3723781A" w:rsidR="00C32441" w:rsidRDefault="00C32441" w:rsidP="00C32441">
      <w:pPr>
        <w:pStyle w:val="EYBulletedList1"/>
        <w:numPr>
          <w:ilvl w:val="1"/>
          <w:numId w:val="11"/>
        </w:numPr>
        <w:jc w:val="both"/>
        <w:rPr>
          <w:sz w:val="22"/>
          <w:szCs w:val="22"/>
          <w:lang w:val="pl-PL"/>
        </w:rPr>
      </w:pPr>
      <w:r w:rsidRPr="00182175">
        <w:rPr>
          <w:b/>
          <w:sz w:val="22"/>
          <w:szCs w:val="22"/>
          <w:lang w:val="pl-PL"/>
        </w:rPr>
        <w:t xml:space="preserve">w scenariuszu </w:t>
      </w:r>
      <w:r w:rsidR="00257433" w:rsidRPr="00182175">
        <w:rPr>
          <w:b/>
          <w:sz w:val="22"/>
          <w:szCs w:val="22"/>
          <w:lang w:val="pl-PL"/>
        </w:rPr>
        <w:t>3</w:t>
      </w:r>
      <w:r w:rsidRPr="00D524D5">
        <w:rPr>
          <w:sz w:val="22"/>
          <w:szCs w:val="22"/>
          <w:lang w:val="pl-PL"/>
        </w:rPr>
        <w:t xml:space="preserve">, czyli w </w:t>
      </w:r>
      <w:r>
        <w:rPr>
          <w:sz w:val="22"/>
          <w:szCs w:val="22"/>
          <w:lang w:val="pl-PL"/>
        </w:rPr>
        <w:t xml:space="preserve">najbardziej konserwatywnym </w:t>
      </w:r>
      <w:r w:rsidRPr="000A2A42">
        <w:rPr>
          <w:sz w:val="22"/>
          <w:szCs w:val="22"/>
          <w:lang w:val="pl-PL"/>
        </w:rPr>
        <w:t>podejściu</w:t>
      </w:r>
      <w:r>
        <w:rPr>
          <w:sz w:val="22"/>
          <w:szCs w:val="22"/>
          <w:lang w:val="pl-PL"/>
        </w:rPr>
        <w:t xml:space="preserve"> populacyjnym i przy </w:t>
      </w:r>
      <w:r w:rsidRPr="00D524D5">
        <w:rPr>
          <w:sz w:val="22"/>
          <w:szCs w:val="22"/>
          <w:lang w:val="pl-PL"/>
        </w:rPr>
        <w:t>uwzględnieniu zakresu wszystkich trzech modułów (A, B, C)</w:t>
      </w:r>
      <w:r>
        <w:rPr>
          <w:sz w:val="22"/>
          <w:szCs w:val="22"/>
          <w:lang w:val="pl-PL"/>
        </w:rPr>
        <w:t>,</w:t>
      </w:r>
      <w:r w:rsidRPr="00D524D5">
        <w:rPr>
          <w:sz w:val="22"/>
          <w:szCs w:val="22"/>
          <w:lang w:val="pl-PL"/>
        </w:rPr>
        <w:t xml:space="preserve"> roczny koszt opieki przypadający na jednego pac</w:t>
      </w:r>
      <w:r>
        <w:rPr>
          <w:sz w:val="22"/>
          <w:szCs w:val="22"/>
          <w:lang w:val="pl-PL"/>
        </w:rPr>
        <w:t xml:space="preserve">jenta to około 26,6 tysiąca </w:t>
      </w:r>
      <w:r w:rsidRPr="00D524D5">
        <w:rPr>
          <w:sz w:val="22"/>
          <w:szCs w:val="22"/>
          <w:lang w:val="pl-PL"/>
        </w:rPr>
        <w:t>PLN</w:t>
      </w:r>
      <w:r w:rsidR="00257433">
        <w:rPr>
          <w:sz w:val="22"/>
          <w:szCs w:val="22"/>
          <w:lang w:val="pl-PL"/>
        </w:rPr>
        <w:t>, a w przypadku uwzględnienia wariantu z modułem AA</w:t>
      </w:r>
      <w:r w:rsidR="00257433" w:rsidRPr="00257433">
        <w:rPr>
          <w:sz w:val="22"/>
          <w:szCs w:val="22"/>
          <w:lang w:val="pl-PL"/>
        </w:rPr>
        <w:t xml:space="preserve"> </w:t>
      </w:r>
      <w:r w:rsidR="00257433">
        <w:rPr>
          <w:sz w:val="22"/>
          <w:szCs w:val="22"/>
          <w:lang w:val="pl-PL"/>
        </w:rPr>
        <w:t>zamiast modułu A - około 25,7 tysiąca PLN</w:t>
      </w:r>
    </w:p>
    <w:p w14:paraId="69C547F3" w14:textId="77777777" w:rsidR="00DF525E" w:rsidRPr="00517788" w:rsidRDefault="00DF525E" w:rsidP="00060165">
      <w:pPr>
        <w:pStyle w:val="EYBulletedList1"/>
        <w:numPr>
          <w:ilvl w:val="0"/>
          <w:numId w:val="0"/>
        </w:numPr>
        <w:ind w:left="288" w:hanging="288"/>
        <w:jc w:val="both"/>
        <w:rPr>
          <w:szCs w:val="22"/>
          <w:lang w:val="pl-PL"/>
        </w:rPr>
      </w:pPr>
    </w:p>
    <w:p w14:paraId="5B2E9CFD" w14:textId="77777777" w:rsidR="002A2DDD" w:rsidRPr="00970FC6" w:rsidRDefault="002A2DDD" w:rsidP="002A2DDD">
      <w:pPr>
        <w:pStyle w:val="EYHeading1"/>
        <w:rPr>
          <w:rFonts w:eastAsia="Calibri"/>
          <w:color w:val="000000" w:themeColor="text1"/>
          <w:lang w:val="pl-PL"/>
        </w:rPr>
      </w:pPr>
      <w:bookmarkStart w:id="6" w:name="_Toc479170141"/>
      <w:bookmarkStart w:id="7" w:name="_Toc479170204"/>
      <w:bookmarkStart w:id="8" w:name="_Toc479172424"/>
      <w:bookmarkStart w:id="9" w:name="_Toc479174847"/>
      <w:bookmarkStart w:id="10" w:name="_Toc479174955"/>
      <w:bookmarkStart w:id="11" w:name="_Toc479191104"/>
      <w:bookmarkStart w:id="12" w:name="_Toc479191517"/>
      <w:bookmarkStart w:id="13" w:name="_Toc477444310"/>
      <w:bookmarkStart w:id="14" w:name="_Toc477446934"/>
      <w:bookmarkStart w:id="15" w:name="_Toc477547846"/>
      <w:bookmarkStart w:id="16" w:name="_Toc477550089"/>
      <w:bookmarkStart w:id="17" w:name="_Toc477550994"/>
      <w:bookmarkStart w:id="18" w:name="_Toc477551154"/>
      <w:bookmarkStart w:id="19" w:name="_Toc477551308"/>
      <w:bookmarkStart w:id="20" w:name="_Toc477551446"/>
      <w:bookmarkStart w:id="21" w:name="_Toc477553466"/>
      <w:bookmarkStart w:id="22" w:name="_Toc477868955"/>
      <w:bookmarkStart w:id="23" w:name="_Toc477900904"/>
      <w:bookmarkStart w:id="24" w:name="_Toc477950177"/>
      <w:bookmarkStart w:id="25" w:name="_Toc477951157"/>
      <w:bookmarkStart w:id="26" w:name="_Toc477951295"/>
      <w:bookmarkStart w:id="27" w:name="_Toc477951433"/>
      <w:bookmarkStart w:id="28" w:name="_Toc48653789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970FC6">
        <w:rPr>
          <w:rFonts w:eastAsia="Calibri"/>
          <w:color w:val="000000" w:themeColor="text1"/>
          <w:lang w:val="pl-PL"/>
        </w:rPr>
        <w:lastRenderedPageBreak/>
        <w:t>Definicja problemu</w:t>
      </w:r>
      <w:bookmarkEnd w:id="28"/>
    </w:p>
    <w:p w14:paraId="6CB80EBE" w14:textId="77777777" w:rsidR="002A2DDD" w:rsidRPr="00970FC6" w:rsidRDefault="002A2DDD" w:rsidP="00BD05A0">
      <w:pPr>
        <w:pStyle w:val="EYHeading2"/>
        <w:rPr>
          <w:rFonts w:eastAsia="Calibri"/>
          <w:color w:val="000000" w:themeColor="text1"/>
          <w:lang w:val="pl-PL"/>
        </w:rPr>
      </w:pPr>
      <w:bookmarkStart w:id="29" w:name="_Toc479170143"/>
      <w:bookmarkStart w:id="30" w:name="_Toc479170206"/>
      <w:bookmarkStart w:id="31" w:name="_Toc479172426"/>
      <w:bookmarkStart w:id="32" w:name="_Toc479174849"/>
      <w:bookmarkStart w:id="33" w:name="_Toc479174957"/>
      <w:bookmarkStart w:id="34" w:name="_Toc479191106"/>
      <w:bookmarkStart w:id="35" w:name="_Toc479191519"/>
      <w:bookmarkStart w:id="36" w:name="_Toc486537897"/>
      <w:bookmarkEnd w:id="29"/>
      <w:bookmarkEnd w:id="30"/>
      <w:bookmarkEnd w:id="31"/>
      <w:bookmarkEnd w:id="32"/>
      <w:bookmarkEnd w:id="33"/>
      <w:bookmarkEnd w:id="34"/>
      <w:bookmarkEnd w:id="35"/>
      <w:r w:rsidRPr="00970FC6">
        <w:rPr>
          <w:rFonts w:eastAsia="Calibri"/>
          <w:color w:val="000000" w:themeColor="text1"/>
          <w:lang w:val="pl-PL"/>
        </w:rPr>
        <w:t xml:space="preserve">Charakterystyka </w:t>
      </w:r>
      <w:r w:rsidR="00E92057" w:rsidRPr="00970FC6">
        <w:rPr>
          <w:rFonts w:eastAsia="Calibri"/>
          <w:color w:val="000000" w:themeColor="text1"/>
          <w:lang w:val="pl-PL"/>
        </w:rPr>
        <w:t xml:space="preserve">przewlekłej </w:t>
      </w:r>
      <w:r w:rsidRPr="00970FC6">
        <w:rPr>
          <w:rFonts w:eastAsia="Calibri"/>
          <w:color w:val="000000" w:themeColor="text1"/>
          <w:lang w:val="pl-PL"/>
        </w:rPr>
        <w:t xml:space="preserve">choroby </w:t>
      </w:r>
      <w:r w:rsidR="00E92057" w:rsidRPr="00970FC6">
        <w:rPr>
          <w:rFonts w:eastAsia="Calibri"/>
          <w:color w:val="000000" w:themeColor="text1"/>
          <w:lang w:val="pl-PL"/>
        </w:rPr>
        <w:t xml:space="preserve">nerek </w:t>
      </w:r>
      <w:r w:rsidRPr="00970FC6">
        <w:rPr>
          <w:rFonts w:eastAsia="Calibri"/>
          <w:color w:val="000000" w:themeColor="text1"/>
          <w:lang w:val="pl-PL"/>
        </w:rPr>
        <w:t>(</w:t>
      </w:r>
      <w:proofErr w:type="spellStart"/>
      <w:r w:rsidRPr="00970FC6">
        <w:rPr>
          <w:rFonts w:eastAsia="Calibri"/>
          <w:color w:val="000000" w:themeColor="text1"/>
          <w:lang w:val="pl-PL"/>
        </w:rPr>
        <w:t>PChN</w:t>
      </w:r>
      <w:proofErr w:type="spellEnd"/>
      <w:r w:rsidRPr="00970FC6">
        <w:rPr>
          <w:rFonts w:eastAsia="Calibri"/>
          <w:color w:val="000000" w:themeColor="text1"/>
          <w:lang w:val="pl-PL"/>
        </w:rPr>
        <w:t>)</w:t>
      </w:r>
      <w:bookmarkEnd w:id="36"/>
    </w:p>
    <w:p w14:paraId="6C1A8F39" w14:textId="77777777" w:rsidR="002A2DDD" w:rsidRPr="00970FC6" w:rsidRDefault="002A2DDD" w:rsidP="00BD05A0">
      <w:pPr>
        <w:pStyle w:val="EYHeading3"/>
        <w:rPr>
          <w:rFonts w:eastAsia="Calibri"/>
          <w:color w:val="000000" w:themeColor="text1"/>
          <w:lang w:val="pl-PL"/>
        </w:rPr>
      </w:pPr>
      <w:bookmarkStart w:id="37" w:name="_Toc486537898"/>
      <w:r w:rsidRPr="00970FC6">
        <w:rPr>
          <w:rFonts w:eastAsia="Calibri"/>
          <w:color w:val="000000" w:themeColor="text1"/>
          <w:lang w:val="pl-PL"/>
        </w:rPr>
        <w:t>Definicja</w:t>
      </w:r>
      <w:r w:rsidR="00E335B9" w:rsidRPr="00970FC6">
        <w:rPr>
          <w:rFonts w:eastAsia="Calibri"/>
          <w:color w:val="000000" w:themeColor="text1"/>
          <w:lang w:val="pl-PL"/>
        </w:rPr>
        <w:t xml:space="preserve">, </w:t>
      </w:r>
      <w:r w:rsidR="0002448D" w:rsidRPr="00970FC6">
        <w:rPr>
          <w:rFonts w:eastAsia="Calibri"/>
          <w:color w:val="000000" w:themeColor="text1"/>
          <w:lang w:val="pl-PL"/>
        </w:rPr>
        <w:t>klasyfikacja ICD-10</w:t>
      </w:r>
      <w:r w:rsidR="00E335B9" w:rsidRPr="00970FC6">
        <w:rPr>
          <w:rFonts w:eastAsia="Calibri"/>
          <w:color w:val="000000" w:themeColor="text1"/>
          <w:lang w:val="pl-PL"/>
        </w:rPr>
        <w:t xml:space="preserve"> i JGP</w:t>
      </w:r>
      <w:bookmarkEnd w:id="37"/>
    </w:p>
    <w:p w14:paraId="51F575D1" w14:textId="77777777" w:rsidR="00CB4EEB" w:rsidRPr="006F3794" w:rsidRDefault="0039771D" w:rsidP="006F3794">
      <w:pPr>
        <w:rPr>
          <w:rFonts w:eastAsia="Calibri"/>
          <w:szCs w:val="22"/>
          <w:lang w:val="pl-PL"/>
        </w:rPr>
      </w:pPr>
      <w:r w:rsidRPr="006F3794">
        <w:rPr>
          <w:rFonts w:eastAsia="Calibri"/>
          <w:szCs w:val="22"/>
          <w:lang w:val="pl-PL"/>
        </w:rPr>
        <w:t xml:space="preserve">Zgodnie z międzynarodowymi wytycznymi przedstawionymi w dokumencie </w:t>
      </w:r>
      <w:proofErr w:type="spellStart"/>
      <w:r w:rsidRPr="006F3794">
        <w:rPr>
          <w:rFonts w:eastAsia="Calibri"/>
          <w:szCs w:val="22"/>
          <w:lang w:val="pl-PL"/>
        </w:rPr>
        <w:t>Kidney</w:t>
      </w:r>
      <w:proofErr w:type="spellEnd"/>
      <w:r w:rsidRPr="006F3794">
        <w:rPr>
          <w:rFonts w:eastAsia="Calibri"/>
          <w:szCs w:val="22"/>
          <w:lang w:val="pl-PL"/>
        </w:rPr>
        <w:t xml:space="preserve"> </w:t>
      </w:r>
      <w:proofErr w:type="spellStart"/>
      <w:r w:rsidRPr="006F3794">
        <w:rPr>
          <w:rFonts w:eastAsia="Calibri"/>
          <w:szCs w:val="22"/>
          <w:lang w:val="pl-PL"/>
        </w:rPr>
        <w:t>Disease</w:t>
      </w:r>
      <w:proofErr w:type="spellEnd"/>
      <w:r w:rsidRPr="006F3794">
        <w:rPr>
          <w:rFonts w:eastAsia="Calibri"/>
          <w:szCs w:val="22"/>
          <w:lang w:val="pl-PL"/>
        </w:rPr>
        <w:t xml:space="preserve"> </w:t>
      </w:r>
      <w:proofErr w:type="spellStart"/>
      <w:r w:rsidRPr="006F3794">
        <w:rPr>
          <w:rFonts w:eastAsia="Calibri"/>
          <w:szCs w:val="22"/>
          <w:lang w:val="pl-PL"/>
        </w:rPr>
        <w:t>Improving</w:t>
      </w:r>
      <w:proofErr w:type="spellEnd"/>
      <w:r w:rsidRPr="006F3794">
        <w:rPr>
          <w:rFonts w:eastAsia="Calibri"/>
          <w:szCs w:val="22"/>
          <w:lang w:val="pl-PL"/>
        </w:rPr>
        <w:t xml:space="preserve"> Global </w:t>
      </w:r>
      <w:proofErr w:type="spellStart"/>
      <w:r w:rsidRPr="006F3794">
        <w:rPr>
          <w:rFonts w:eastAsia="Calibri"/>
          <w:szCs w:val="22"/>
          <w:lang w:val="pl-PL"/>
        </w:rPr>
        <w:t>Outcome</w:t>
      </w:r>
      <w:proofErr w:type="spellEnd"/>
      <w:r w:rsidRPr="006F3794">
        <w:rPr>
          <w:rFonts w:eastAsia="Calibri"/>
          <w:szCs w:val="22"/>
          <w:lang w:val="pl-PL"/>
        </w:rPr>
        <w:t xml:space="preserve"> (KDIGO 2012) p</w:t>
      </w:r>
      <w:r w:rsidR="00E92057" w:rsidRPr="006F3794">
        <w:rPr>
          <w:rFonts w:eastAsia="Calibri"/>
          <w:szCs w:val="22"/>
          <w:lang w:val="pl-PL"/>
        </w:rPr>
        <w:t>rzewlekł</w:t>
      </w:r>
      <w:r w:rsidR="00A249E0" w:rsidRPr="006F3794">
        <w:rPr>
          <w:rFonts w:eastAsia="Calibri"/>
          <w:szCs w:val="22"/>
          <w:lang w:val="pl-PL"/>
        </w:rPr>
        <w:t>a</w:t>
      </w:r>
      <w:r w:rsidR="00E92057" w:rsidRPr="006F3794">
        <w:rPr>
          <w:rFonts w:eastAsia="Calibri"/>
          <w:szCs w:val="22"/>
          <w:lang w:val="pl-PL"/>
        </w:rPr>
        <w:t xml:space="preserve"> chorob</w:t>
      </w:r>
      <w:r w:rsidR="00A249E0" w:rsidRPr="006F3794">
        <w:rPr>
          <w:rFonts w:eastAsia="Calibri"/>
          <w:szCs w:val="22"/>
          <w:lang w:val="pl-PL"/>
        </w:rPr>
        <w:t>a</w:t>
      </w:r>
      <w:r w:rsidR="002A469D" w:rsidRPr="006F3794">
        <w:rPr>
          <w:rFonts w:eastAsia="Calibri"/>
          <w:szCs w:val="22"/>
          <w:lang w:val="pl-PL"/>
        </w:rPr>
        <w:t xml:space="preserve"> nerek </w:t>
      </w:r>
      <w:r w:rsidR="00E92057" w:rsidRPr="006F3794">
        <w:rPr>
          <w:rFonts w:eastAsia="Calibri"/>
          <w:szCs w:val="22"/>
          <w:lang w:val="pl-PL"/>
        </w:rPr>
        <w:t>(</w:t>
      </w:r>
      <w:proofErr w:type="spellStart"/>
      <w:r w:rsidR="00E92057" w:rsidRPr="006F3794">
        <w:rPr>
          <w:rFonts w:eastAsia="Calibri"/>
          <w:szCs w:val="22"/>
          <w:lang w:val="pl-PL"/>
        </w:rPr>
        <w:t>PChN</w:t>
      </w:r>
      <w:proofErr w:type="spellEnd"/>
      <w:r w:rsidR="00E92057" w:rsidRPr="006F3794">
        <w:rPr>
          <w:rFonts w:eastAsia="Calibri"/>
          <w:szCs w:val="22"/>
          <w:lang w:val="pl-PL"/>
        </w:rPr>
        <w:t xml:space="preserve">) jest </w:t>
      </w:r>
      <w:r w:rsidR="00A249E0" w:rsidRPr="006F3794">
        <w:rPr>
          <w:rFonts w:eastAsia="Calibri"/>
          <w:szCs w:val="22"/>
          <w:lang w:val="pl-PL"/>
        </w:rPr>
        <w:t>definiowana jako nieprawidłowości budow</w:t>
      </w:r>
      <w:r w:rsidR="00832C37" w:rsidRPr="006F3794">
        <w:rPr>
          <w:rFonts w:eastAsia="Calibri"/>
          <w:szCs w:val="22"/>
          <w:lang w:val="pl-PL"/>
        </w:rPr>
        <w:t>y</w:t>
      </w:r>
      <w:r w:rsidR="00A249E0" w:rsidRPr="006F3794">
        <w:rPr>
          <w:rFonts w:eastAsia="Calibri"/>
          <w:szCs w:val="22"/>
          <w:lang w:val="pl-PL"/>
        </w:rPr>
        <w:t xml:space="preserve"> bądź </w:t>
      </w:r>
      <w:r w:rsidR="007E3F62" w:rsidRPr="006F3794">
        <w:rPr>
          <w:rFonts w:eastAsia="Calibri"/>
          <w:szCs w:val="22"/>
          <w:lang w:val="pl-PL"/>
        </w:rPr>
        <w:t>czynności (funkcji)</w:t>
      </w:r>
      <w:r w:rsidR="00A249E0" w:rsidRPr="006F3794">
        <w:rPr>
          <w:rFonts w:eastAsia="Calibri"/>
          <w:szCs w:val="22"/>
          <w:lang w:val="pl-PL"/>
        </w:rPr>
        <w:t xml:space="preserve"> nerek, utrzymujące się powyżej trzech miesięcy</w:t>
      </w:r>
      <w:r w:rsidR="007E3F62" w:rsidRPr="006F3794">
        <w:rPr>
          <w:rFonts w:eastAsia="Calibri"/>
          <w:szCs w:val="22"/>
          <w:lang w:val="pl-PL"/>
        </w:rPr>
        <w:t xml:space="preserve"> i w</w:t>
      </w:r>
      <w:r w:rsidR="00A249E0" w:rsidRPr="006F3794">
        <w:rPr>
          <w:rFonts w:eastAsia="Calibri"/>
          <w:szCs w:val="22"/>
          <w:lang w:val="pl-PL"/>
        </w:rPr>
        <w:t>pły</w:t>
      </w:r>
      <w:r w:rsidR="00621A70" w:rsidRPr="006F3794">
        <w:rPr>
          <w:rFonts w:eastAsia="Calibri"/>
          <w:szCs w:val="22"/>
          <w:lang w:val="pl-PL"/>
        </w:rPr>
        <w:t>wające na stan zdrowia pacjenta</w:t>
      </w:r>
      <w:r w:rsidR="00A249E0" w:rsidRPr="006F3794">
        <w:rPr>
          <w:rStyle w:val="Odwoanieprzypisudolnego"/>
          <w:rFonts w:eastAsia="Calibri"/>
          <w:sz w:val="22"/>
          <w:szCs w:val="22"/>
          <w:lang w:val="pl-PL"/>
        </w:rPr>
        <w:footnoteReference w:id="6"/>
      </w:r>
      <w:r w:rsidR="00621A70" w:rsidRPr="006F3794">
        <w:rPr>
          <w:rFonts w:eastAsia="Calibri"/>
          <w:szCs w:val="22"/>
          <w:lang w:val="pl-PL"/>
        </w:rPr>
        <w:t>.</w:t>
      </w:r>
      <w:r w:rsidR="00CB4EEB" w:rsidRPr="006F3794">
        <w:rPr>
          <w:rFonts w:eastAsia="Calibri"/>
          <w:szCs w:val="22"/>
          <w:lang w:val="pl-PL"/>
        </w:rPr>
        <w:t xml:space="preserve"> </w:t>
      </w:r>
      <w:proofErr w:type="spellStart"/>
      <w:r w:rsidR="00CB4EEB" w:rsidRPr="006F3794">
        <w:rPr>
          <w:rFonts w:eastAsia="Calibri"/>
          <w:szCs w:val="22"/>
          <w:lang w:val="pl-PL"/>
        </w:rPr>
        <w:t>PChN</w:t>
      </w:r>
      <w:proofErr w:type="spellEnd"/>
      <w:r w:rsidR="00CB4EEB" w:rsidRPr="006F3794">
        <w:rPr>
          <w:rFonts w:eastAsia="Calibri"/>
          <w:szCs w:val="22"/>
          <w:lang w:val="pl-PL"/>
        </w:rPr>
        <w:t xml:space="preserve"> jest wynikiem nieprawidłowości czynnościowych l</w:t>
      </w:r>
      <w:r w:rsidR="00A46853" w:rsidRPr="006F3794">
        <w:rPr>
          <w:rFonts w:eastAsia="Calibri"/>
          <w:szCs w:val="22"/>
          <w:lang w:val="pl-PL"/>
        </w:rPr>
        <w:t>ub anatomicznych struktur nerki</w:t>
      </w:r>
      <w:r w:rsidR="00CB4EEB" w:rsidRPr="006F3794">
        <w:rPr>
          <w:rStyle w:val="Odwoanieprzypisudolnego"/>
          <w:rFonts w:eastAsia="Calibri"/>
          <w:sz w:val="22"/>
          <w:szCs w:val="22"/>
          <w:lang w:val="pl-PL"/>
        </w:rPr>
        <w:footnoteReference w:id="7"/>
      </w:r>
      <w:r w:rsidR="00A46853" w:rsidRPr="006F3794">
        <w:rPr>
          <w:rFonts w:eastAsia="Calibri"/>
          <w:szCs w:val="22"/>
          <w:lang w:val="pl-PL"/>
        </w:rPr>
        <w:t>.</w:t>
      </w:r>
    </w:p>
    <w:p w14:paraId="50B5B35C" w14:textId="77777777" w:rsidR="000A363B" w:rsidRPr="006F3794" w:rsidRDefault="005F3B40" w:rsidP="006F3794">
      <w:pPr>
        <w:rPr>
          <w:rFonts w:eastAsia="Calibri"/>
          <w:szCs w:val="22"/>
          <w:lang w:val="pl-PL"/>
        </w:rPr>
      </w:pPr>
      <w:r w:rsidRPr="006F3794">
        <w:rPr>
          <w:rFonts w:eastAsia="Calibri"/>
          <w:szCs w:val="22"/>
          <w:lang w:val="pl-PL"/>
        </w:rPr>
        <w:t xml:space="preserve">Przed definicją KDIGO 2012, w literaturze polskiej definiowano </w:t>
      </w:r>
      <w:proofErr w:type="spellStart"/>
      <w:r w:rsidRPr="006F3794">
        <w:rPr>
          <w:rFonts w:eastAsia="Calibri"/>
          <w:szCs w:val="22"/>
          <w:lang w:val="pl-PL"/>
        </w:rPr>
        <w:t>PChN</w:t>
      </w:r>
      <w:proofErr w:type="spellEnd"/>
      <w:r w:rsidRPr="006F3794">
        <w:rPr>
          <w:rFonts w:eastAsia="Calibri"/>
          <w:szCs w:val="22"/>
          <w:lang w:val="pl-PL"/>
        </w:rPr>
        <w:t xml:space="preserve"> jako </w:t>
      </w:r>
      <w:r w:rsidR="000A363B" w:rsidRPr="006F3794">
        <w:rPr>
          <w:rFonts w:eastAsia="Calibri"/>
          <w:szCs w:val="22"/>
          <w:lang w:val="pl-PL"/>
        </w:rPr>
        <w:t xml:space="preserve">wieloobjawowy zespół chorobowy, </w:t>
      </w:r>
      <w:r w:rsidRPr="006F3794">
        <w:rPr>
          <w:rFonts w:eastAsia="Calibri"/>
          <w:szCs w:val="22"/>
          <w:lang w:val="pl-PL"/>
        </w:rPr>
        <w:t xml:space="preserve">charakteryzujący się powolnym, nieodwracalnym i przeważnie postępującym pogorszeniem funkcji nerek, powstałym </w:t>
      </w:r>
      <w:r w:rsidR="000A363B" w:rsidRPr="006F3794">
        <w:rPr>
          <w:rFonts w:eastAsia="Calibri"/>
          <w:szCs w:val="22"/>
          <w:lang w:val="pl-PL"/>
        </w:rPr>
        <w:t>w wyniku trwałego uszkodzenia bądź zmniejszenia liczby czynnych nefronów niszczonych przez różnorodne procesy chorobowe zachodzące w miąższu nerek</w:t>
      </w:r>
      <w:r w:rsidR="000A363B" w:rsidRPr="006F3794">
        <w:rPr>
          <w:rStyle w:val="Odwoanieprzypisudolnego"/>
          <w:rFonts w:eastAsia="Calibri"/>
          <w:sz w:val="22"/>
          <w:szCs w:val="22"/>
          <w:lang w:val="pl-PL"/>
        </w:rPr>
        <w:footnoteReference w:id="8"/>
      </w:r>
      <w:r w:rsidR="000A363B" w:rsidRPr="006F3794">
        <w:rPr>
          <w:rFonts w:eastAsia="Calibri"/>
          <w:szCs w:val="22"/>
          <w:lang w:val="pl-PL"/>
        </w:rPr>
        <w:t>.</w:t>
      </w:r>
    </w:p>
    <w:p w14:paraId="77764D24" w14:textId="66C35A48" w:rsidR="000A363B" w:rsidRPr="006F3794" w:rsidRDefault="000A363B" w:rsidP="00060165">
      <w:pPr>
        <w:widowControl/>
        <w:autoSpaceDE/>
        <w:autoSpaceDN/>
        <w:adjustRightInd/>
        <w:spacing w:before="0" w:after="0" w:line="240" w:lineRule="auto"/>
        <w:jc w:val="left"/>
        <w:rPr>
          <w:rFonts w:eastAsia="Calibri"/>
          <w:szCs w:val="22"/>
          <w:lang w:val="pl-PL"/>
        </w:rPr>
      </w:pPr>
      <w:r w:rsidRPr="006F3794">
        <w:rPr>
          <w:rFonts w:eastAsia="Calibri"/>
          <w:szCs w:val="22"/>
          <w:lang w:val="pl-PL"/>
        </w:rPr>
        <w:t>W międzynarodowej klas</w:t>
      </w:r>
      <w:r w:rsidR="00E74ADC">
        <w:rPr>
          <w:rFonts w:eastAsia="Calibri"/>
          <w:szCs w:val="22"/>
          <w:lang w:val="pl-PL"/>
        </w:rPr>
        <w:t xml:space="preserve">yfikacji rozpoznań ICD-10 przewlekła choroba nerek </w:t>
      </w:r>
      <w:r w:rsidRPr="006F3794">
        <w:rPr>
          <w:rFonts w:eastAsia="Calibri"/>
          <w:szCs w:val="22"/>
          <w:lang w:val="pl-PL"/>
        </w:rPr>
        <w:t>jest klasyfikowan</w:t>
      </w:r>
      <w:r w:rsidR="006F520B">
        <w:rPr>
          <w:rFonts w:eastAsia="Calibri"/>
          <w:szCs w:val="22"/>
          <w:lang w:val="pl-PL"/>
        </w:rPr>
        <w:t>a</w:t>
      </w:r>
      <w:r w:rsidRPr="006F3794">
        <w:rPr>
          <w:rFonts w:eastAsia="Calibri"/>
          <w:szCs w:val="22"/>
          <w:lang w:val="pl-PL"/>
        </w:rPr>
        <w:t xml:space="preserve"> pod kodami</w:t>
      </w:r>
      <w:r w:rsidR="00A8224E" w:rsidRPr="006F3794">
        <w:rPr>
          <w:rStyle w:val="Odwoanieprzypisudolnego"/>
          <w:rFonts w:eastAsia="Calibri"/>
          <w:sz w:val="22"/>
          <w:szCs w:val="22"/>
          <w:lang w:val="pl-PL"/>
        </w:rPr>
        <w:footnoteReference w:id="9"/>
      </w:r>
      <w:r w:rsidRPr="006F3794">
        <w:rPr>
          <w:rFonts w:eastAsia="Calibri"/>
          <w:szCs w:val="22"/>
          <w:lang w:val="pl-PL"/>
        </w:rPr>
        <w:t>:</w:t>
      </w:r>
    </w:p>
    <w:p w14:paraId="0FFA9027" w14:textId="4081BB62" w:rsidR="006F520B" w:rsidRDefault="006F520B" w:rsidP="00F84B72">
      <w:pPr>
        <w:pStyle w:val="EYBulletedList1"/>
        <w:numPr>
          <w:ilvl w:val="0"/>
          <w:numId w:val="11"/>
        </w:numPr>
        <w:ind w:left="289" w:hanging="289"/>
        <w:jc w:val="both"/>
        <w:rPr>
          <w:sz w:val="22"/>
          <w:szCs w:val="22"/>
          <w:lang w:val="pl-PL"/>
        </w:rPr>
      </w:pPr>
      <w:r>
        <w:rPr>
          <w:sz w:val="22"/>
          <w:szCs w:val="22"/>
          <w:lang w:val="pl-PL"/>
        </w:rPr>
        <w:t xml:space="preserve">N18 Przewlekła </w:t>
      </w:r>
      <w:r w:rsidR="0095596F">
        <w:rPr>
          <w:sz w:val="22"/>
          <w:szCs w:val="22"/>
          <w:lang w:val="pl-PL"/>
        </w:rPr>
        <w:t xml:space="preserve">niewydolność </w:t>
      </w:r>
      <w:r>
        <w:rPr>
          <w:sz w:val="22"/>
          <w:szCs w:val="22"/>
          <w:lang w:val="pl-PL"/>
        </w:rPr>
        <w:t>nerek</w:t>
      </w:r>
    </w:p>
    <w:p w14:paraId="107A4D46"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N18.0 Schyłkowa niewydolność nerek</w:t>
      </w:r>
    </w:p>
    <w:p w14:paraId="3EF33F2F"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N18.8 Inna przewlekła niewydolność nerek</w:t>
      </w:r>
    </w:p>
    <w:p w14:paraId="14CBD63A"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N18.9 Przewlekła niewydolność nerek, nieokreślona</w:t>
      </w:r>
    </w:p>
    <w:p w14:paraId="6AE634FA" w14:textId="6F6B5804"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N19 Nieokreślona niewydolność nerek</w:t>
      </w:r>
    </w:p>
    <w:p w14:paraId="1C8B46B8" w14:textId="15E3F7C3" w:rsidR="00E335B9" w:rsidRPr="006F3794" w:rsidRDefault="00A8224E" w:rsidP="006F3794">
      <w:pPr>
        <w:pStyle w:val="EYBulletedList1"/>
        <w:numPr>
          <w:ilvl w:val="0"/>
          <w:numId w:val="0"/>
        </w:numPr>
        <w:jc w:val="both"/>
        <w:rPr>
          <w:sz w:val="22"/>
          <w:szCs w:val="22"/>
          <w:lang w:val="pl-PL"/>
        </w:rPr>
      </w:pPr>
      <w:r w:rsidRPr="006F3794">
        <w:rPr>
          <w:sz w:val="22"/>
          <w:szCs w:val="22"/>
          <w:lang w:val="pl-PL"/>
        </w:rPr>
        <w:t xml:space="preserve">Z kolei w systemie </w:t>
      </w:r>
      <w:r w:rsidR="00E74ADC">
        <w:rPr>
          <w:sz w:val="22"/>
          <w:szCs w:val="22"/>
          <w:lang w:val="pl-PL"/>
        </w:rPr>
        <w:t>JGP (</w:t>
      </w:r>
      <w:r w:rsidRPr="006F3794">
        <w:rPr>
          <w:sz w:val="22"/>
          <w:szCs w:val="22"/>
          <w:lang w:val="pl-PL"/>
        </w:rPr>
        <w:t>Jednorodnych Grup Pacjentów</w:t>
      </w:r>
      <w:r w:rsidR="00E74ADC">
        <w:rPr>
          <w:sz w:val="22"/>
          <w:szCs w:val="22"/>
          <w:lang w:val="pl-PL"/>
        </w:rPr>
        <w:t xml:space="preserve">) </w:t>
      </w:r>
      <w:proofErr w:type="spellStart"/>
      <w:r w:rsidR="00E74ADC">
        <w:rPr>
          <w:sz w:val="22"/>
          <w:szCs w:val="22"/>
          <w:lang w:val="pl-PL"/>
        </w:rPr>
        <w:t>PChN</w:t>
      </w:r>
      <w:proofErr w:type="spellEnd"/>
      <w:r w:rsidR="00E74ADC">
        <w:rPr>
          <w:sz w:val="22"/>
          <w:szCs w:val="22"/>
          <w:lang w:val="pl-PL"/>
        </w:rPr>
        <w:t xml:space="preserve"> </w:t>
      </w:r>
      <w:r w:rsidRPr="006F3794">
        <w:rPr>
          <w:sz w:val="22"/>
          <w:szCs w:val="22"/>
          <w:lang w:val="pl-PL"/>
        </w:rPr>
        <w:t xml:space="preserve">klasyfikuje się </w:t>
      </w:r>
      <w:r w:rsidR="006F520B">
        <w:rPr>
          <w:sz w:val="22"/>
          <w:szCs w:val="22"/>
          <w:lang w:val="pl-PL"/>
        </w:rPr>
        <w:t xml:space="preserve">w szczególności </w:t>
      </w:r>
      <w:r w:rsidRPr="006F3794">
        <w:rPr>
          <w:sz w:val="22"/>
          <w:szCs w:val="22"/>
          <w:lang w:val="pl-PL"/>
        </w:rPr>
        <w:t>pod następującymi kodami</w:t>
      </w:r>
      <w:r w:rsidRPr="006F3794">
        <w:rPr>
          <w:rStyle w:val="Odwoanieprzypisudolnego"/>
          <w:sz w:val="22"/>
          <w:szCs w:val="22"/>
          <w:lang w:val="pl-PL"/>
        </w:rPr>
        <w:footnoteReference w:id="10"/>
      </w:r>
      <w:r w:rsidR="00E335B9" w:rsidRPr="006F3794">
        <w:rPr>
          <w:sz w:val="22"/>
          <w:szCs w:val="22"/>
          <w:lang w:val="pl-PL"/>
        </w:rPr>
        <w:t>:</w:t>
      </w:r>
    </w:p>
    <w:p w14:paraId="2624C9E7"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L81 Leczenie powikłań leczenia nerkozastępczego &gt; 17 r.ż.</w:t>
      </w:r>
    </w:p>
    <w:p w14:paraId="6C625A36"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L82 Ostra niewydolność nerek</w:t>
      </w:r>
    </w:p>
    <w:p w14:paraId="142BCBC5"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L83 Przewlekła niewydolność nerek</w:t>
      </w:r>
    </w:p>
    <w:p w14:paraId="6F350BAC"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L87 Leczenie powikłań leczenia nerkozastępczego &lt; 18 r.ż.</w:t>
      </w:r>
    </w:p>
    <w:p w14:paraId="610DADC8"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P18 Choroby nerek z niewydolnością nerkową</w:t>
      </w:r>
    </w:p>
    <w:p w14:paraId="64D0CBDD" w14:textId="77777777" w:rsidR="00A8224E"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t>Q51 Dostęp naczyniowy w leczeniu nerkozastępczym z wyk</w:t>
      </w:r>
      <w:r w:rsidR="00E74ADC">
        <w:rPr>
          <w:sz w:val="22"/>
          <w:szCs w:val="22"/>
          <w:lang w:val="pl-PL"/>
        </w:rPr>
        <w:t>orzystaniem protez naczyniowych</w:t>
      </w:r>
    </w:p>
    <w:p w14:paraId="3929C0F1" w14:textId="77777777" w:rsidR="00E335B9" w:rsidRPr="006F3794" w:rsidRDefault="00A8224E" w:rsidP="00F84B72">
      <w:pPr>
        <w:pStyle w:val="EYBulletedList1"/>
        <w:numPr>
          <w:ilvl w:val="0"/>
          <w:numId w:val="11"/>
        </w:numPr>
        <w:ind w:left="289" w:hanging="289"/>
        <w:jc w:val="both"/>
        <w:rPr>
          <w:sz w:val="22"/>
          <w:szCs w:val="22"/>
          <w:lang w:val="pl-PL"/>
        </w:rPr>
      </w:pPr>
      <w:r w:rsidRPr="006F3794">
        <w:rPr>
          <w:sz w:val="22"/>
          <w:szCs w:val="22"/>
          <w:lang w:val="pl-PL"/>
        </w:rPr>
        <w:lastRenderedPageBreak/>
        <w:t>Q52 Do</w:t>
      </w:r>
      <w:r w:rsidR="00E74ADC">
        <w:rPr>
          <w:sz w:val="22"/>
          <w:szCs w:val="22"/>
          <w:lang w:val="pl-PL"/>
        </w:rPr>
        <w:t>stęp w leczeniu nerkozastępczym</w:t>
      </w:r>
    </w:p>
    <w:p w14:paraId="11DBA75C" w14:textId="77777777" w:rsidR="00BD05A0" w:rsidRPr="00970FC6" w:rsidRDefault="002E1ABE" w:rsidP="00BD05A0">
      <w:pPr>
        <w:pStyle w:val="EYHeading3"/>
        <w:rPr>
          <w:color w:val="000000" w:themeColor="text1"/>
          <w:sz w:val="24"/>
          <w:lang w:val="pl-PL"/>
        </w:rPr>
      </w:pPr>
      <w:bookmarkStart w:id="38" w:name="_Toc486537899"/>
      <w:r w:rsidRPr="00970FC6">
        <w:rPr>
          <w:rFonts w:eastAsia="Calibri"/>
          <w:color w:val="000000" w:themeColor="text1"/>
          <w:lang w:val="pl-PL"/>
        </w:rPr>
        <w:t xml:space="preserve">Postępowanie diagnostyczne w </w:t>
      </w:r>
      <w:proofErr w:type="spellStart"/>
      <w:r w:rsidRPr="00970FC6">
        <w:rPr>
          <w:rFonts w:eastAsia="Calibri"/>
          <w:color w:val="000000" w:themeColor="text1"/>
          <w:lang w:val="pl-PL"/>
        </w:rPr>
        <w:t>PChN</w:t>
      </w:r>
      <w:bookmarkEnd w:id="38"/>
      <w:proofErr w:type="spellEnd"/>
    </w:p>
    <w:p w14:paraId="32B024AD" w14:textId="77777777" w:rsidR="00793359" w:rsidRPr="00970FC6" w:rsidRDefault="002E1ABE" w:rsidP="00793359">
      <w:pPr>
        <w:rPr>
          <w:color w:val="000000" w:themeColor="text1"/>
          <w:lang w:val="pl-PL"/>
        </w:rPr>
      </w:pPr>
      <w:r w:rsidRPr="00970FC6">
        <w:rPr>
          <w:color w:val="000000" w:themeColor="text1"/>
          <w:lang w:val="pl-PL"/>
        </w:rPr>
        <w:t xml:space="preserve">Postępowanie diagnostyczne w przypadku </w:t>
      </w:r>
      <w:proofErr w:type="spellStart"/>
      <w:r w:rsidRPr="00970FC6">
        <w:rPr>
          <w:color w:val="000000" w:themeColor="text1"/>
          <w:lang w:val="pl-PL"/>
        </w:rPr>
        <w:t>PChN</w:t>
      </w:r>
      <w:proofErr w:type="spellEnd"/>
      <w:r w:rsidRPr="00970FC6">
        <w:rPr>
          <w:color w:val="000000" w:themeColor="text1"/>
          <w:lang w:val="pl-PL"/>
        </w:rPr>
        <w:t xml:space="preserve"> </w:t>
      </w:r>
      <w:r w:rsidR="00C06972" w:rsidRPr="00970FC6">
        <w:rPr>
          <w:color w:val="000000" w:themeColor="text1"/>
          <w:lang w:val="pl-PL"/>
        </w:rPr>
        <w:t xml:space="preserve">powinno </w:t>
      </w:r>
      <w:r w:rsidRPr="00970FC6">
        <w:rPr>
          <w:color w:val="000000" w:themeColor="text1"/>
          <w:lang w:val="pl-PL"/>
        </w:rPr>
        <w:t>składa</w:t>
      </w:r>
      <w:r w:rsidR="00C06972" w:rsidRPr="00970FC6">
        <w:rPr>
          <w:color w:val="000000" w:themeColor="text1"/>
          <w:lang w:val="pl-PL"/>
        </w:rPr>
        <w:t>ć</w:t>
      </w:r>
      <w:r w:rsidRPr="00970FC6">
        <w:rPr>
          <w:color w:val="000000" w:themeColor="text1"/>
          <w:lang w:val="pl-PL"/>
        </w:rPr>
        <w:t xml:space="preserve"> się z </w:t>
      </w:r>
      <w:r w:rsidR="00793359" w:rsidRPr="00970FC6">
        <w:rPr>
          <w:color w:val="000000" w:themeColor="text1"/>
          <w:lang w:val="pl-PL"/>
        </w:rPr>
        <w:t>kilku</w:t>
      </w:r>
      <w:r w:rsidRPr="00970FC6">
        <w:rPr>
          <w:color w:val="000000" w:themeColor="text1"/>
          <w:lang w:val="pl-PL"/>
        </w:rPr>
        <w:t xml:space="preserve"> elementów</w:t>
      </w:r>
      <w:r w:rsidR="00793359" w:rsidRPr="00970FC6">
        <w:rPr>
          <w:color w:val="000000" w:themeColor="text1"/>
          <w:lang w:val="pl-PL"/>
        </w:rPr>
        <w:t xml:space="preserve">. Oprócz samego rozpoznania </w:t>
      </w:r>
      <w:proofErr w:type="spellStart"/>
      <w:r w:rsidR="00793359" w:rsidRPr="00970FC6">
        <w:rPr>
          <w:color w:val="000000" w:themeColor="text1"/>
          <w:lang w:val="pl-PL"/>
        </w:rPr>
        <w:t>PChN</w:t>
      </w:r>
      <w:proofErr w:type="spellEnd"/>
      <w:r w:rsidR="00793359" w:rsidRPr="00970FC6">
        <w:rPr>
          <w:color w:val="000000" w:themeColor="text1"/>
          <w:lang w:val="pl-PL"/>
        </w:rPr>
        <w:t xml:space="preserve">, należy również ocenić stopień zaawansowania choroby i ustalić jej przyczynę. Dalej, należy zidentyfikować czynniki przyspieszające postęp </w:t>
      </w:r>
      <w:proofErr w:type="spellStart"/>
      <w:r w:rsidR="00793359" w:rsidRPr="00970FC6">
        <w:rPr>
          <w:color w:val="000000" w:themeColor="text1"/>
          <w:lang w:val="pl-PL"/>
        </w:rPr>
        <w:t>PChN</w:t>
      </w:r>
      <w:proofErr w:type="spellEnd"/>
      <w:r w:rsidR="00793359" w:rsidRPr="00970FC6">
        <w:rPr>
          <w:color w:val="000000" w:themeColor="text1"/>
          <w:lang w:val="pl-PL"/>
        </w:rPr>
        <w:t xml:space="preserve"> i ustalić obecność powikłań i chorób współistniejących. Z uwagi na bliski związek </w:t>
      </w:r>
      <w:proofErr w:type="spellStart"/>
      <w:r w:rsidR="00793359" w:rsidRPr="00970FC6">
        <w:rPr>
          <w:color w:val="000000" w:themeColor="text1"/>
          <w:lang w:val="pl-PL"/>
        </w:rPr>
        <w:t>przyczynowo-skutkowy</w:t>
      </w:r>
      <w:proofErr w:type="spellEnd"/>
      <w:r w:rsidR="00793359" w:rsidRPr="00970FC6">
        <w:rPr>
          <w:color w:val="000000" w:themeColor="text1"/>
          <w:lang w:val="pl-PL"/>
        </w:rPr>
        <w:t xml:space="preserve">, ustalenie czynników ryzyka sercowo-naczyniowego jest również istotne w postępowaniu diagnostycznym w </w:t>
      </w:r>
      <w:proofErr w:type="spellStart"/>
      <w:r w:rsidR="00793359" w:rsidRPr="00970FC6">
        <w:rPr>
          <w:color w:val="000000" w:themeColor="text1"/>
          <w:lang w:val="pl-PL"/>
        </w:rPr>
        <w:t>PChN</w:t>
      </w:r>
      <w:proofErr w:type="spellEnd"/>
      <w:r w:rsidR="00322205" w:rsidRPr="00970FC6">
        <w:rPr>
          <w:rStyle w:val="Odwoanieprzypisudolnego"/>
          <w:color w:val="000000" w:themeColor="text1"/>
          <w:sz w:val="22"/>
          <w:szCs w:val="22"/>
          <w:lang w:val="pl-PL"/>
        </w:rPr>
        <w:footnoteReference w:id="11"/>
      </w:r>
      <w:r w:rsidR="00192078" w:rsidRPr="00970FC6">
        <w:rPr>
          <w:color w:val="000000" w:themeColor="text1"/>
          <w:lang w:val="pl-PL"/>
        </w:rPr>
        <w:t>.</w:t>
      </w:r>
    </w:p>
    <w:p w14:paraId="2A7BD9CA" w14:textId="77777777" w:rsidR="002E1ABE" w:rsidRPr="00970FC6" w:rsidRDefault="005A42B4" w:rsidP="002E1ABE">
      <w:pPr>
        <w:pStyle w:val="EYHeading4"/>
        <w:rPr>
          <w:color w:val="000000" w:themeColor="text1"/>
          <w:lang w:val="pl-PL"/>
        </w:rPr>
      </w:pPr>
      <w:bookmarkStart w:id="39" w:name="_Toc486537900"/>
      <w:r w:rsidRPr="00970FC6">
        <w:rPr>
          <w:color w:val="000000" w:themeColor="text1"/>
          <w:lang w:val="pl-PL"/>
        </w:rPr>
        <w:t>Ustalenie r</w:t>
      </w:r>
      <w:r w:rsidR="002E1ABE" w:rsidRPr="00970FC6">
        <w:rPr>
          <w:color w:val="000000" w:themeColor="text1"/>
          <w:lang w:val="pl-PL"/>
        </w:rPr>
        <w:t>ozpoznani</w:t>
      </w:r>
      <w:r w:rsidRPr="00970FC6">
        <w:rPr>
          <w:color w:val="000000" w:themeColor="text1"/>
          <w:lang w:val="pl-PL"/>
        </w:rPr>
        <w:t xml:space="preserve">a, stopnia zaawansowania i przyczyny </w:t>
      </w:r>
      <w:proofErr w:type="spellStart"/>
      <w:r w:rsidRPr="00970FC6">
        <w:rPr>
          <w:color w:val="000000" w:themeColor="text1"/>
          <w:lang w:val="pl-PL"/>
        </w:rPr>
        <w:t>PChN</w:t>
      </w:r>
      <w:bookmarkEnd w:id="39"/>
      <w:proofErr w:type="spellEnd"/>
    </w:p>
    <w:p w14:paraId="6C5EE529" w14:textId="77777777" w:rsidR="006C5AB8" w:rsidRPr="00927FD7" w:rsidRDefault="006C5AB8" w:rsidP="006F3794">
      <w:pPr>
        <w:rPr>
          <w:lang w:val="pl-PL"/>
        </w:rPr>
      </w:pPr>
      <w:r w:rsidRPr="00927FD7">
        <w:rPr>
          <w:lang w:val="pl-PL"/>
        </w:rPr>
        <w:t>Zgodnie z wytycznymi K</w:t>
      </w:r>
      <w:r w:rsidR="0002448D" w:rsidRPr="00927FD7">
        <w:rPr>
          <w:lang w:val="pl-PL"/>
        </w:rPr>
        <w:t xml:space="preserve">DIGO 2012, </w:t>
      </w:r>
      <w:proofErr w:type="spellStart"/>
      <w:r w:rsidR="0002448D" w:rsidRPr="00927FD7">
        <w:rPr>
          <w:lang w:val="pl-PL"/>
        </w:rPr>
        <w:t>PChN</w:t>
      </w:r>
      <w:proofErr w:type="spellEnd"/>
      <w:r w:rsidRPr="00927FD7">
        <w:rPr>
          <w:lang w:val="pl-PL"/>
        </w:rPr>
        <w:t xml:space="preserve"> rozpoznaje się na podstawie</w:t>
      </w:r>
      <w:r w:rsidR="00EF4076" w:rsidRPr="006F3794">
        <w:rPr>
          <w:vertAlign w:val="superscript"/>
        </w:rPr>
        <w:footnoteReference w:id="12"/>
      </w:r>
      <w:r w:rsidRPr="00927FD7">
        <w:rPr>
          <w:lang w:val="pl-PL"/>
        </w:rPr>
        <w:t>:</w:t>
      </w:r>
    </w:p>
    <w:p w14:paraId="0F8A3A60" w14:textId="77777777" w:rsidR="00EF4076" w:rsidRPr="006F3794" w:rsidRDefault="005100B2" w:rsidP="00F84B72">
      <w:pPr>
        <w:pStyle w:val="EYBulletedList1"/>
        <w:numPr>
          <w:ilvl w:val="0"/>
          <w:numId w:val="11"/>
        </w:numPr>
        <w:ind w:left="289" w:hanging="289"/>
        <w:jc w:val="both"/>
        <w:rPr>
          <w:sz w:val="22"/>
          <w:lang w:val="pl-PL"/>
        </w:rPr>
      </w:pPr>
      <w:r w:rsidRPr="006F3794">
        <w:rPr>
          <w:sz w:val="22"/>
          <w:lang w:val="pl-PL"/>
        </w:rPr>
        <w:t xml:space="preserve">trwającego powyżej trzech miesięcy </w:t>
      </w:r>
      <w:r w:rsidR="00EF4076" w:rsidRPr="006F3794">
        <w:rPr>
          <w:sz w:val="22"/>
          <w:lang w:val="pl-PL"/>
        </w:rPr>
        <w:t>zmniejszonego wskaźnika filtracji kłębuszkowej, niezależnie od wyników badań w zakresie prawidłowości budowy i czynności nerek</w:t>
      </w:r>
    </w:p>
    <w:p w14:paraId="44EE3EAE" w14:textId="77777777" w:rsidR="00EF4076" w:rsidRPr="006F3794" w:rsidRDefault="00EF4076" w:rsidP="00EF4076">
      <w:pPr>
        <w:pStyle w:val="EYBulletedList1"/>
        <w:numPr>
          <w:ilvl w:val="0"/>
          <w:numId w:val="0"/>
        </w:numPr>
        <w:spacing w:line="360" w:lineRule="auto"/>
        <w:ind w:left="288" w:hanging="288"/>
        <w:jc w:val="both"/>
        <w:rPr>
          <w:sz w:val="22"/>
          <w:lang w:val="pl-PL"/>
        </w:rPr>
      </w:pPr>
      <w:r w:rsidRPr="006F3794">
        <w:rPr>
          <w:sz w:val="22"/>
          <w:lang w:val="pl-PL"/>
        </w:rPr>
        <w:t>lub</w:t>
      </w:r>
    </w:p>
    <w:p w14:paraId="02E76FD5" w14:textId="77777777" w:rsidR="00EF4076" w:rsidRPr="006F3794" w:rsidRDefault="006C5AB8" w:rsidP="00F84B72">
      <w:pPr>
        <w:pStyle w:val="EYBulletedList1"/>
        <w:numPr>
          <w:ilvl w:val="0"/>
          <w:numId w:val="11"/>
        </w:numPr>
        <w:ind w:left="289" w:hanging="289"/>
        <w:jc w:val="both"/>
        <w:rPr>
          <w:sz w:val="22"/>
          <w:lang w:val="pl-PL"/>
        </w:rPr>
      </w:pPr>
      <w:r w:rsidRPr="006F3794">
        <w:rPr>
          <w:sz w:val="22"/>
          <w:lang w:val="pl-PL"/>
        </w:rPr>
        <w:t>trwającego powyżej trzech miesięcy uszkodzenia nerek, stwierdzonego na podstaw</w:t>
      </w:r>
      <w:r w:rsidR="00315645">
        <w:rPr>
          <w:sz w:val="22"/>
          <w:lang w:val="pl-PL"/>
        </w:rPr>
        <w:t>ie wykrytych nieprawidłowości w</w:t>
      </w:r>
      <w:r w:rsidRPr="006F3794">
        <w:rPr>
          <w:sz w:val="22"/>
          <w:lang w:val="pl-PL"/>
        </w:rPr>
        <w:t xml:space="preserve"> morfologicznych lub czynnościowych badaniach </w:t>
      </w:r>
      <w:r w:rsidR="00EF4076" w:rsidRPr="006F3794">
        <w:rPr>
          <w:sz w:val="22"/>
          <w:lang w:val="pl-PL"/>
        </w:rPr>
        <w:t xml:space="preserve">budowy i czynności </w:t>
      </w:r>
      <w:r w:rsidRPr="006F3794">
        <w:rPr>
          <w:sz w:val="22"/>
          <w:lang w:val="pl-PL"/>
        </w:rPr>
        <w:t>nerek</w:t>
      </w:r>
      <w:r w:rsidR="00A46853" w:rsidRPr="006F3794">
        <w:rPr>
          <w:sz w:val="22"/>
          <w:lang w:val="pl-PL"/>
        </w:rPr>
        <w:t>,</w:t>
      </w:r>
      <w:r w:rsidRPr="006F3794">
        <w:rPr>
          <w:sz w:val="22"/>
          <w:lang w:val="pl-PL"/>
        </w:rPr>
        <w:t xml:space="preserve"> z prawidłowym bądź zmniejszonym wskaźnikiem filtracji kłębuszkowej</w:t>
      </w:r>
      <w:r w:rsidR="00192078">
        <w:rPr>
          <w:sz w:val="22"/>
          <w:lang w:val="pl-PL"/>
        </w:rPr>
        <w:t>.</w:t>
      </w:r>
    </w:p>
    <w:p w14:paraId="03B9F0F6" w14:textId="682135C0" w:rsidR="00561088" w:rsidRPr="006F3794" w:rsidRDefault="006C5AB8" w:rsidP="006F3794">
      <w:pPr>
        <w:rPr>
          <w:lang w:val="pl-PL"/>
        </w:rPr>
      </w:pPr>
      <w:r w:rsidRPr="006F3794">
        <w:rPr>
          <w:lang w:val="pl-PL"/>
        </w:rPr>
        <w:t xml:space="preserve">Kryteria rozpoznania </w:t>
      </w:r>
      <w:proofErr w:type="spellStart"/>
      <w:r w:rsidRPr="006F3794">
        <w:rPr>
          <w:lang w:val="pl-PL"/>
        </w:rPr>
        <w:t>PChN</w:t>
      </w:r>
      <w:proofErr w:type="spellEnd"/>
      <w:r w:rsidRPr="006F3794">
        <w:rPr>
          <w:lang w:val="pl-PL"/>
        </w:rPr>
        <w:t xml:space="preserve"> </w:t>
      </w:r>
      <w:r w:rsidR="009E552F" w:rsidRPr="006F3794">
        <w:rPr>
          <w:lang w:val="pl-PL"/>
        </w:rPr>
        <w:t>wg KDIGO</w:t>
      </w:r>
      <w:r w:rsidR="00A46853" w:rsidRPr="006F3794">
        <w:rPr>
          <w:lang w:val="pl-PL"/>
        </w:rPr>
        <w:t xml:space="preserve"> </w:t>
      </w:r>
      <w:r w:rsidRPr="006F3794">
        <w:rPr>
          <w:lang w:val="pl-PL"/>
        </w:rPr>
        <w:t xml:space="preserve">przedstawiono w </w:t>
      </w:r>
      <w:r w:rsidR="0002448D" w:rsidRPr="006F3794">
        <w:rPr>
          <w:lang w:val="pl-PL"/>
        </w:rPr>
        <w:t>tabe</w:t>
      </w:r>
      <w:r w:rsidRPr="006F3794">
        <w:rPr>
          <w:lang w:val="pl-PL"/>
        </w:rPr>
        <w:t>li</w:t>
      </w:r>
      <w:r w:rsidR="0002448D" w:rsidRPr="006F3794">
        <w:rPr>
          <w:lang w:val="pl-PL"/>
        </w:rPr>
        <w:t xml:space="preserve"> </w:t>
      </w:r>
      <w:r w:rsidR="00AB3698">
        <w:rPr>
          <w:lang w:val="pl-PL"/>
        </w:rPr>
        <w:t>2</w:t>
      </w:r>
      <w:r w:rsidR="0002448D" w:rsidRPr="006F3794">
        <w:rPr>
          <w:lang w:val="pl-PL"/>
        </w:rPr>
        <w:t>.</w:t>
      </w:r>
    </w:p>
    <w:p w14:paraId="0F5DB1CA" w14:textId="5D17F5CB" w:rsidR="0039771D" w:rsidRPr="00662519" w:rsidRDefault="0039771D" w:rsidP="0039771D">
      <w:pPr>
        <w:pStyle w:val="Legenda"/>
        <w:keepNext/>
        <w:rPr>
          <w:b/>
          <w:i w:val="0"/>
          <w:color w:val="auto"/>
          <w:lang w:val="pl-PL"/>
        </w:rPr>
      </w:pPr>
      <w:bookmarkStart w:id="40" w:name="_Toc486537965"/>
      <w:r w:rsidRPr="00662519">
        <w:rPr>
          <w:b/>
          <w:i w:val="0"/>
          <w:color w:val="auto"/>
          <w:lang w:val="pl-PL"/>
        </w:rPr>
        <w:t xml:space="preserve">Tabela </w:t>
      </w:r>
      <w:r w:rsidRPr="00662519">
        <w:rPr>
          <w:b/>
          <w:i w:val="0"/>
          <w:color w:val="auto"/>
        </w:rPr>
        <w:fldChar w:fldCharType="begin"/>
      </w:r>
      <w:r w:rsidRPr="00662519">
        <w:rPr>
          <w:b/>
          <w:i w:val="0"/>
          <w:color w:val="auto"/>
          <w:lang w:val="pl-PL"/>
        </w:rPr>
        <w:instrText xml:space="preserve"> SEQ Tabela \* ARABIC </w:instrText>
      </w:r>
      <w:r w:rsidRPr="00662519">
        <w:rPr>
          <w:b/>
          <w:i w:val="0"/>
          <w:color w:val="auto"/>
        </w:rPr>
        <w:fldChar w:fldCharType="separate"/>
      </w:r>
      <w:r w:rsidR="005C7285">
        <w:rPr>
          <w:b/>
          <w:i w:val="0"/>
          <w:noProof/>
          <w:color w:val="auto"/>
          <w:lang w:val="pl-PL"/>
        </w:rPr>
        <w:t>2</w:t>
      </w:r>
      <w:r w:rsidRPr="00662519">
        <w:rPr>
          <w:b/>
          <w:i w:val="0"/>
          <w:color w:val="auto"/>
        </w:rPr>
        <w:fldChar w:fldCharType="end"/>
      </w:r>
      <w:r w:rsidRPr="00662519">
        <w:rPr>
          <w:b/>
          <w:i w:val="0"/>
          <w:color w:val="auto"/>
          <w:lang w:val="pl-PL"/>
        </w:rPr>
        <w:t xml:space="preserve"> </w:t>
      </w:r>
      <w:r w:rsidR="00521E1C" w:rsidRPr="00662519">
        <w:rPr>
          <w:b/>
          <w:i w:val="0"/>
          <w:color w:val="auto"/>
          <w:lang w:val="pl-PL"/>
        </w:rPr>
        <w:t xml:space="preserve">Kryteria rozpoznania </w:t>
      </w:r>
      <w:r w:rsidR="00561088">
        <w:rPr>
          <w:b/>
          <w:i w:val="0"/>
          <w:color w:val="auto"/>
          <w:lang w:val="pl-PL"/>
        </w:rPr>
        <w:t xml:space="preserve">przewlekłej choroby nerek </w:t>
      </w:r>
      <w:r w:rsidR="00BE6340" w:rsidRPr="00662519">
        <w:rPr>
          <w:b/>
          <w:i w:val="0"/>
          <w:color w:val="auto"/>
          <w:lang w:val="pl-PL"/>
        </w:rPr>
        <w:t>wg KDIGO 2012</w:t>
      </w:r>
      <w:bookmarkEnd w:id="40"/>
    </w:p>
    <w:tbl>
      <w:tblPr>
        <w:tblStyle w:val="Tabela-Siatka"/>
        <w:tblW w:w="0" w:type="auto"/>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2268"/>
        <w:gridCol w:w="4493"/>
      </w:tblGrid>
      <w:tr w:rsidR="0002448D" w:rsidRPr="00C57815" w14:paraId="252166C5" w14:textId="77777777" w:rsidTr="0002448D">
        <w:tc>
          <w:tcPr>
            <w:tcW w:w="9029" w:type="dxa"/>
            <w:gridSpan w:val="3"/>
            <w:shd w:val="clear" w:color="auto" w:fill="FFE600"/>
            <w:vAlign w:val="center"/>
          </w:tcPr>
          <w:p w14:paraId="187A4122" w14:textId="77777777" w:rsidR="0002448D" w:rsidRPr="0002448D" w:rsidRDefault="00602625" w:rsidP="008C32D8">
            <w:pPr>
              <w:spacing w:before="60" w:after="60" w:line="240" w:lineRule="auto"/>
              <w:jc w:val="left"/>
              <w:rPr>
                <w:rFonts w:eastAsia="Calibri"/>
                <w:b/>
                <w:sz w:val="18"/>
                <w:szCs w:val="18"/>
                <w:lang w:val="pl-PL"/>
              </w:rPr>
            </w:pPr>
            <w:r w:rsidRPr="008C32D8">
              <w:rPr>
                <w:rFonts w:eastAsia="Calibri"/>
                <w:b/>
                <w:sz w:val="18"/>
                <w:szCs w:val="18"/>
                <w:lang w:val="pl-PL"/>
              </w:rPr>
              <w:t>Nieprawidłowości morfologiczne lub czynnościowe nerek</w:t>
            </w:r>
            <w:r w:rsidR="008C32D8">
              <w:rPr>
                <w:rFonts w:eastAsia="Calibri"/>
                <w:b/>
                <w:sz w:val="18"/>
                <w:szCs w:val="18"/>
                <w:lang w:val="pl-PL"/>
              </w:rPr>
              <w:t xml:space="preserve"> </w:t>
            </w:r>
            <w:r w:rsidR="0002448D" w:rsidRPr="008C32D8">
              <w:rPr>
                <w:rFonts w:eastAsia="Calibri"/>
                <w:b/>
                <w:sz w:val="18"/>
                <w:szCs w:val="18"/>
                <w:lang w:val="pl-PL"/>
              </w:rPr>
              <w:t>(minimum jedno z poniższy</w:t>
            </w:r>
            <w:r w:rsidR="008C32D8">
              <w:rPr>
                <w:rFonts w:eastAsia="Calibri"/>
                <w:b/>
                <w:sz w:val="18"/>
                <w:szCs w:val="18"/>
                <w:lang w:val="pl-PL"/>
              </w:rPr>
              <w:t>ch)</w:t>
            </w:r>
          </w:p>
        </w:tc>
      </w:tr>
      <w:tr w:rsidR="0021188D" w:rsidRPr="00C57815" w14:paraId="10010D22" w14:textId="77777777" w:rsidTr="00A72683">
        <w:tc>
          <w:tcPr>
            <w:tcW w:w="2268" w:type="dxa"/>
            <w:shd w:val="clear" w:color="auto" w:fill="auto"/>
            <w:vAlign w:val="center"/>
          </w:tcPr>
          <w:p w14:paraId="0D70523F" w14:textId="77777777" w:rsidR="0021188D" w:rsidRPr="00501063" w:rsidRDefault="000A363B" w:rsidP="006C5AB8">
            <w:pPr>
              <w:spacing w:before="60" w:after="60" w:line="240" w:lineRule="auto"/>
              <w:jc w:val="left"/>
              <w:rPr>
                <w:rFonts w:eastAsia="Calibri"/>
                <w:b/>
                <w:sz w:val="18"/>
                <w:szCs w:val="18"/>
                <w:lang w:val="pl-PL"/>
              </w:rPr>
            </w:pPr>
            <w:r w:rsidRPr="00501063">
              <w:rPr>
                <w:rFonts w:eastAsia="Calibri"/>
                <w:b/>
                <w:sz w:val="18"/>
                <w:szCs w:val="18"/>
                <w:lang w:val="pl-PL"/>
              </w:rPr>
              <w:t xml:space="preserve">Nieprawidłowości </w:t>
            </w:r>
            <w:r w:rsidR="006C5AB8" w:rsidRPr="00501063">
              <w:rPr>
                <w:rFonts w:eastAsia="Calibri"/>
                <w:b/>
                <w:sz w:val="18"/>
                <w:szCs w:val="18"/>
                <w:lang w:val="pl-PL"/>
              </w:rPr>
              <w:t>filtracji kłębuszkowej</w:t>
            </w:r>
            <w:r w:rsidR="00501063" w:rsidRPr="00501063">
              <w:rPr>
                <w:rStyle w:val="Odwoanieprzypisudolnego"/>
                <w:rFonts w:eastAsia="Calibri"/>
                <w:sz w:val="18"/>
                <w:szCs w:val="18"/>
                <w:lang w:val="pl-PL"/>
              </w:rPr>
              <w:footnoteReference w:id="13"/>
            </w:r>
          </w:p>
        </w:tc>
        <w:tc>
          <w:tcPr>
            <w:tcW w:w="2268" w:type="dxa"/>
            <w:shd w:val="clear" w:color="auto" w:fill="F2F2F2" w:themeFill="background1" w:themeFillShade="F2"/>
            <w:vAlign w:val="center"/>
          </w:tcPr>
          <w:p w14:paraId="290FFF56" w14:textId="77777777" w:rsidR="0021188D" w:rsidRPr="0002448D" w:rsidRDefault="0002448D" w:rsidP="0002448D">
            <w:pPr>
              <w:spacing w:before="60" w:after="60" w:line="240" w:lineRule="auto"/>
              <w:jc w:val="left"/>
              <w:rPr>
                <w:rFonts w:eastAsia="Calibri"/>
                <w:sz w:val="18"/>
                <w:szCs w:val="18"/>
                <w:lang w:val="pl-PL"/>
              </w:rPr>
            </w:pPr>
            <w:r>
              <w:rPr>
                <w:rFonts w:eastAsia="Calibri"/>
                <w:sz w:val="18"/>
                <w:szCs w:val="18"/>
                <w:lang w:val="pl-PL"/>
              </w:rPr>
              <w:t>Nieprawidłowe przesączanie kłębuszkowe</w:t>
            </w:r>
          </w:p>
        </w:tc>
        <w:tc>
          <w:tcPr>
            <w:tcW w:w="4493" w:type="dxa"/>
            <w:shd w:val="clear" w:color="auto" w:fill="auto"/>
            <w:vAlign w:val="center"/>
          </w:tcPr>
          <w:p w14:paraId="65C34A2A" w14:textId="77777777" w:rsidR="0021188D" w:rsidRPr="0002448D" w:rsidRDefault="0002448D"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GFR &lt; 60 ml/min/1.73 m</w:t>
            </w:r>
            <w:r w:rsidRPr="002E1ABE">
              <w:rPr>
                <w:sz w:val="18"/>
                <w:szCs w:val="18"/>
                <w:vertAlign w:val="superscript"/>
                <w:lang w:val="pl-PL"/>
              </w:rPr>
              <w:t>2</w:t>
            </w:r>
            <w:r w:rsidRPr="0002448D">
              <w:rPr>
                <w:sz w:val="18"/>
                <w:szCs w:val="18"/>
                <w:lang w:val="pl-PL"/>
              </w:rPr>
              <w:t xml:space="preserve"> (kategorie G3a-G5)</w:t>
            </w:r>
          </w:p>
        </w:tc>
      </w:tr>
      <w:tr w:rsidR="00645A46" w:rsidRPr="0002448D" w14:paraId="5C5B816F" w14:textId="77777777" w:rsidTr="00A72683">
        <w:tc>
          <w:tcPr>
            <w:tcW w:w="2268" w:type="dxa"/>
            <w:vMerge w:val="restart"/>
            <w:shd w:val="clear" w:color="auto" w:fill="auto"/>
            <w:vAlign w:val="center"/>
          </w:tcPr>
          <w:p w14:paraId="1361814F" w14:textId="6E57F3DD" w:rsidR="00645A46" w:rsidRPr="0002448D" w:rsidRDefault="00645A46" w:rsidP="008F4D0C">
            <w:pPr>
              <w:spacing w:before="60" w:after="60" w:line="240" w:lineRule="auto"/>
              <w:jc w:val="left"/>
              <w:rPr>
                <w:rFonts w:eastAsia="Calibri"/>
                <w:b/>
                <w:sz w:val="18"/>
                <w:szCs w:val="18"/>
                <w:lang w:val="pl-PL"/>
              </w:rPr>
            </w:pPr>
            <w:r w:rsidRPr="0002448D">
              <w:rPr>
                <w:rFonts w:eastAsia="Calibri"/>
                <w:b/>
                <w:sz w:val="18"/>
                <w:szCs w:val="18"/>
                <w:lang w:val="pl-PL"/>
              </w:rPr>
              <w:t>Uszkodzenie nerek jako nieprawidłowości budowy lub czynności narządu</w:t>
            </w:r>
            <w:r w:rsidRPr="00097695">
              <w:rPr>
                <w:lang w:val="pl-PL"/>
              </w:rPr>
              <w:t xml:space="preserve"> </w:t>
            </w:r>
            <w:r>
              <w:rPr>
                <w:rFonts w:eastAsia="Calibri"/>
                <w:b/>
                <w:sz w:val="18"/>
                <w:szCs w:val="18"/>
                <w:lang w:val="pl-PL"/>
              </w:rPr>
              <w:t>t</w:t>
            </w:r>
            <w:r w:rsidRPr="00097695">
              <w:rPr>
                <w:rFonts w:eastAsia="Calibri"/>
                <w:b/>
                <w:sz w:val="18"/>
                <w:szCs w:val="18"/>
                <w:lang w:val="pl-PL"/>
              </w:rPr>
              <w:t>rwające dłużej niż trzy miesiące</w:t>
            </w:r>
          </w:p>
        </w:tc>
        <w:tc>
          <w:tcPr>
            <w:tcW w:w="2268" w:type="dxa"/>
            <w:shd w:val="clear" w:color="auto" w:fill="F2F2F2" w:themeFill="background1" w:themeFillShade="F2"/>
            <w:vAlign w:val="center"/>
          </w:tcPr>
          <w:p w14:paraId="1EAA70C5" w14:textId="77777777" w:rsidR="00645A46" w:rsidRPr="00501063" w:rsidRDefault="00645A46" w:rsidP="0002448D">
            <w:pPr>
              <w:spacing w:before="60" w:after="60" w:line="240" w:lineRule="auto"/>
              <w:jc w:val="left"/>
              <w:rPr>
                <w:rFonts w:eastAsia="Calibri"/>
                <w:sz w:val="18"/>
                <w:szCs w:val="18"/>
                <w:lang w:val="pl-PL"/>
              </w:rPr>
            </w:pPr>
            <w:r w:rsidRPr="00501063">
              <w:rPr>
                <w:rFonts w:eastAsia="Calibri"/>
                <w:sz w:val="18"/>
                <w:szCs w:val="18"/>
                <w:lang w:val="pl-PL"/>
              </w:rPr>
              <w:t>Albuminuria</w:t>
            </w:r>
            <w:r w:rsidRPr="00501063">
              <w:rPr>
                <w:rStyle w:val="Odwoanieprzypisudolnego"/>
                <w:rFonts w:eastAsia="Calibri"/>
                <w:sz w:val="18"/>
                <w:szCs w:val="18"/>
                <w:lang w:val="pl-PL"/>
              </w:rPr>
              <w:footnoteReference w:id="14"/>
            </w:r>
          </w:p>
        </w:tc>
        <w:tc>
          <w:tcPr>
            <w:tcW w:w="4493" w:type="dxa"/>
            <w:shd w:val="clear" w:color="auto" w:fill="auto"/>
            <w:vAlign w:val="center"/>
          </w:tcPr>
          <w:p w14:paraId="0BB4EA78"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AER ≥ 30 mg/24 godziny</w:t>
            </w:r>
          </w:p>
          <w:p w14:paraId="3693BA36"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ACR ≥ 30 mg/g</w:t>
            </w:r>
          </w:p>
        </w:tc>
      </w:tr>
      <w:tr w:rsidR="00645A46" w:rsidRPr="00C57815" w14:paraId="0769AC36" w14:textId="77777777" w:rsidTr="00A72683">
        <w:tc>
          <w:tcPr>
            <w:tcW w:w="2268" w:type="dxa"/>
            <w:vMerge/>
            <w:shd w:val="clear" w:color="auto" w:fill="auto"/>
            <w:vAlign w:val="center"/>
          </w:tcPr>
          <w:p w14:paraId="3D8154AB" w14:textId="77777777" w:rsidR="00645A46" w:rsidRPr="0002448D" w:rsidRDefault="00645A46" w:rsidP="0002448D">
            <w:pPr>
              <w:spacing w:before="60" w:after="60" w:line="240" w:lineRule="auto"/>
              <w:jc w:val="left"/>
              <w:rPr>
                <w:rFonts w:eastAsia="Calibri"/>
                <w:sz w:val="18"/>
                <w:szCs w:val="18"/>
                <w:lang w:val="pl-PL"/>
              </w:rPr>
            </w:pPr>
          </w:p>
        </w:tc>
        <w:tc>
          <w:tcPr>
            <w:tcW w:w="2268" w:type="dxa"/>
            <w:shd w:val="clear" w:color="auto" w:fill="F2F2F2" w:themeFill="background1" w:themeFillShade="F2"/>
            <w:vAlign w:val="center"/>
          </w:tcPr>
          <w:p w14:paraId="2599F9B1" w14:textId="77777777" w:rsidR="00645A46" w:rsidRPr="0002448D" w:rsidRDefault="00645A46" w:rsidP="0002448D">
            <w:pPr>
              <w:spacing w:before="60" w:after="60" w:line="240" w:lineRule="auto"/>
              <w:jc w:val="left"/>
              <w:rPr>
                <w:rFonts w:eastAsia="Calibri"/>
                <w:sz w:val="18"/>
                <w:szCs w:val="18"/>
                <w:lang w:val="pl-PL"/>
              </w:rPr>
            </w:pPr>
            <w:r w:rsidRPr="0002448D">
              <w:rPr>
                <w:rFonts w:eastAsia="Calibri"/>
                <w:sz w:val="18"/>
                <w:szCs w:val="18"/>
                <w:lang w:val="pl-PL"/>
              </w:rPr>
              <w:t>Nieprawidłowy osad moczu</w:t>
            </w:r>
          </w:p>
        </w:tc>
        <w:tc>
          <w:tcPr>
            <w:tcW w:w="4493" w:type="dxa"/>
            <w:shd w:val="clear" w:color="auto" w:fill="auto"/>
            <w:vAlign w:val="center"/>
          </w:tcPr>
          <w:p w14:paraId="1F0CBF6A"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proofErr w:type="spellStart"/>
            <w:r w:rsidRPr="0002448D">
              <w:rPr>
                <w:sz w:val="18"/>
                <w:szCs w:val="18"/>
                <w:lang w:val="pl-PL"/>
              </w:rPr>
              <w:t>Krwinkomocz</w:t>
            </w:r>
            <w:proofErr w:type="spellEnd"/>
          </w:p>
          <w:p w14:paraId="4717FD41"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Wałeczki erytrocytowe</w:t>
            </w:r>
          </w:p>
          <w:p w14:paraId="7E5B85D8"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Wałeczki leukocytowe</w:t>
            </w:r>
          </w:p>
          <w:p w14:paraId="182AAA81"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Wałeczki tłuszczowe</w:t>
            </w:r>
          </w:p>
          <w:p w14:paraId="37DBD43B"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Wałeczki ziarniste oraz komórki nabłonka cewek nerkowych</w:t>
            </w:r>
          </w:p>
        </w:tc>
      </w:tr>
      <w:tr w:rsidR="00645A46" w:rsidRPr="0002448D" w14:paraId="7548129B" w14:textId="77777777" w:rsidTr="00A72683">
        <w:tc>
          <w:tcPr>
            <w:tcW w:w="2268" w:type="dxa"/>
            <w:vMerge/>
            <w:shd w:val="clear" w:color="auto" w:fill="auto"/>
            <w:vAlign w:val="center"/>
          </w:tcPr>
          <w:p w14:paraId="7C003FBF" w14:textId="77777777" w:rsidR="00645A46" w:rsidRPr="0002448D" w:rsidRDefault="00645A46" w:rsidP="0002448D">
            <w:pPr>
              <w:spacing w:before="60" w:after="60" w:line="240" w:lineRule="auto"/>
              <w:jc w:val="left"/>
              <w:rPr>
                <w:rFonts w:eastAsia="Calibri"/>
                <w:sz w:val="18"/>
                <w:szCs w:val="18"/>
                <w:lang w:val="pl-PL"/>
              </w:rPr>
            </w:pPr>
          </w:p>
        </w:tc>
        <w:tc>
          <w:tcPr>
            <w:tcW w:w="2268" w:type="dxa"/>
            <w:shd w:val="clear" w:color="auto" w:fill="F2F2F2" w:themeFill="background1" w:themeFillShade="F2"/>
            <w:vAlign w:val="center"/>
          </w:tcPr>
          <w:p w14:paraId="309A8211" w14:textId="77777777" w:rsidR="00645A46" w:rsidRPr="0002448D" w:rsidRDefault="00645A46" w:rsidP="0002448D">
            <w:pPr>
              <w:spacing w:before="60" w:after="60" w:line="240" w:lineRule="auto"/>
              <w:jc w:val="left"/>
              <w:rPr>
                <w:rFonts w:eastAsia="Calibri"/>
                <w:sz w:val="18"/>
                <w:szCs w:val="18"/>
                <w:lang w:val="pl-PL"/>
              </w:rPr>
            </w:pPr>
            <w:r w:rsidRPr="0002448D">
              <w:rPr>
                <w:rFonts w:eastAsia="Calibri"/>
                <w:sz w:val="18"/>
                <w:szCs w:val="18"/>
                <w:lang w:val="pl-PL"/>
              </w:rPr>
              <w:t>Nieprawidłowości spowodowane zaburzeniami czynności cewek nerkowych</w:t>
            </w:r>
          </w:p>
        </w:tc>
        <w:tc>
          <w:tcPr>
            <w:tcW w:w="4493" w:type="dxa"/>
            <w:shd w:val="clear" w:color="auto" w:fill="auto"/>
            <w:vAlign w:val="center"/>
          </w:tcPr>
          <w:p w14:paraId="327C8D6F"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Nerkowe kwasice cewkowe</w:t>
            </w:r>
          </w:p>
          <w:p w14:paraId="6F4AAB32"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Moczówka prosta nerkowa</w:t>
            </w:r>
          </w:p>
          <w:p w14:paraId="1E968F22"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Nerkowa utrata potasu lub magnezu</w:t>
            </w:r>
          </w:p>
          <w:p w14:paraId="10FDC978"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 xml:space="preserve">Zespół </w:t>
            </w:r>
            <w:proofErr w:type="spellStart"/>
            <w:r w:rsidRPr="0002448D">
              <w:rPr>
                <w:sz w:val="18"/>
                <w:szCs w:val="18"/>
                <w:lang w:val="pl-PL"/>
              </w:rPr>
              <w:t>Fanconiego</w:t>
            </w:r>
            <w:proofErr w:type="spellEnd"/>
          </w:p>
          <w:p w14:paraId="7326CA52"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Białkomocz inny niż albuminuria</w:t>
            </w:r>
          </w:p>
          <w:p w14:paraId="322CA1CD"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Cystynuria</w:t>
            </w:r>
          </w:p>
        </w:tc>
      </w:tr>
      <w:tr w:rsidR="00645A46" w:rsidRPr="00C57815" w14:paraId="25115D66" w14:textId="77777777" w:rsidTr="00A72683">
        <w:tc>
          <w:tcPr>
            <w:tcW w:w="2268" w:type="dxa"/>
            <w:vMerge/>
            <w:shd w:val="clear" w:color="auto" w:fill="auto"/>
            <w:vAlign w:val="center"/>
          </w:tcPr>
          <w:p w14:paraId="68FEBC0B" w14:textId="77777777" w:rsidR="00645A46" w:rsidRPr="0002448D" w:rsidRDefault="00645A46" w:rsidP="0002448D">
            <w:pPr>
              <w:spacing w:before="60" w:after="60" w:line="240" w:lineRule="auto"/>
              <w:jc w:val="left"/>
              <w:rPr>
                <w:rFonts w:eastAsia="Calibri"/>
                <w:sz w:val="18"/>
                <w:szCs w:val="18"/>
                <w:lang w:val="pl-PL"/>
              </w:rPr>
            </w:pPr>
          </w:p>
        </w:tc>
        <w:tc>
          <w:tcPr>
            <w:tcW w:w="2268" w:type="dxa"/>
            <w:shd w:val="clear" w:color="auto" w:fill="F2F2F2" w:themeFill="background1" w:themeFillShade="F2"/>
            <w:vAlign w:val="center"/>
          </w:tcPr>
          <w:p w14:paraId="0F80D607" w14:textId="77777777" w:rsidR="00645A46" w:rsidRPr="0002448D" w:rsidRDefault="00645A46" w:rsidP="0002448D">
            <w:pPr>
              <w:spacing w:before="60" w:after="60" w:line="240" w:lineRule="auto"/>
              <w:jc w:val="left"/>
              <w:rPr>
                <w:rFonts w:eastAsia="Calibri"/>
                <w:sz w:val="18"/>
                <w:szCs w:val="18"/>
                <w:lang w:val="pl-PL"/>
              </w:rPr>
            </w:pPr>
            <w:r w:rsidRPr="0002448D">
              <w:rPr>
                <w:rFonts w:eastAsia="Calibri"/>
                <w:sz w:val="18"/>
                <w:szCs w:val="18"/>
                <w:lang w:val="pl-PL"/>
              </w:rPr>
              <w:t>Nieprawidłowości wykryte w badaniach histopatologicznych nerek</w:t>
            </w:r>
          </w:p>
        </w:tc>
        <w:tc>
          <w:tcPr>
            <w:tcW w:w="4493" w:type="dxa"/>
            <w:shd w:val="clear" w:color="auto" w:fill="auto"/>
            <w:vAlign w:val="center"/>
          </w:tcPr>
          <w:p w14:paraId="5C9F90D3"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proofErr w:type="spellStart"/>
            <w:r w:rsidRPr="0002448D">
              <w:rPr>
                <w:sz w:val="18"/>
                <w:szCs w:val="18"/>
                <w:lang w:val="pl-PL"/>
              </w:rPr>
              <w:t>Glomerulopatie</w:t>
            </w:r>
            <w:proofErr w:type="spellEnd"/>
          </w:p>
          <w:p w14:paraId="7083D706"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Choroby naczyniowe</w:t>
            </w:r>
          </w:p>
          <w:p w14:paraId="0CDD025C"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Choroby cewkowo-śródmiąższowe</w:t>
            </w:r>
          </w:p>
          <w:p w14:paraId="15B03C98"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Choroby z obecnością torbieli i wrodzone</w:t>
            </w:r>
          </w:p>
        </w:tc>
      </w:tr>
      <w:tr w:rsidR="00645A46" w:rsidRPr="00C57815" w14:paraId="12D1D129" w14:textId="77777777" w:rsidTr="00645A46">
        <w:trPr>
          <w:trHeight w:val="2295"/>
        </w:trPr>
        <w:tc>
          <w:tcPr>
            <w:tcW w:w="2268" w:type="dxa"/>
            <w:vMerge/>
            <w:shd w:val="clear" w:color="auto" w:fill="auto"/>
            <w:vAlign w:val="center"/>
          </w:tcPr>
          <w:p w14:paraId="2638E527" w14:textId="77777777" w:rsidR="00645A46" w:rsidRPr="0002448D" w:rsidRDefault="00645A46" w:rsidP="0002448D">
            <w:pPr>
              <w:spacing w:before="60" w:after="60" w:line="240" w:lineRule="auto"/>
              <w:jc w:val="left"/>
              <w:rPr>
                <w:rFonts w:eastAsia="Calibri"/>
                <w:sz w:val="18"/>
                <w:szCs w:val="18"/>
                <w:lang w:val="pl-PL"/>
              </w:rPr>
            </w:pPr>
          </w:p>
        </w:tc>
        <w:tc>
          <w:tcPr>
            <w:tcW w:w="2268" w:type="dxa"/>
            <w:shd w:val="clear" w:color="auto" w:fill="F2F2F2" w:themeFill="background1" w:themeFillShade="F2"/>
            <w:vAlign w:val="center"/>
          </w:tcPr>
          <w:p w14:paraId="6FBBCD80" w14:textId="74A02D37" w:rsidR="00645A46" w:rsidRPr="0002448D" w:rsidRDefault="00645A46" w:rsidP="0002448D">
            <w:pPr>
              <w:spacing w:before="60" w:after="60" w:line="240" w:lineRule="auto"/>
              <w:jc w:val="left"/>
              <w:rPr>
                <w:rFonts w:eastAsia="Calibri"/>
                <w:sz w:val="18"/>
                <w:szCs w:val="18"/>
                <w:lang w:val="pl-PL"/>
              </w:rPr>
            </w:pPr>
            <w:r w:rsidRPr="00D245DE">
              <w:rPr>
                <w:rFonts w:eastAsia="Calibri"/>
                <w:sz w:val="18"/>
                <w:szCs w:val="18"/>
                <w:lang w:val="pl-PL"/>
              </w:rPr>
              <w:t>Zmiany morfologiczne jako markery uszkodzenia nerek wykrywane za pomocą badań obrazujących (</w:t>
            </w:r>
            <w:proofErr w:type="spellStart"/>
            <w:r w:rsidRPr="00D245DE">
              <w:rPr>
                <w:rFonts w:eastAsia="Calibri"/>
                <w:sz w:val="18"/>
                <w:szCs w:val="18"/>
                <w:lang w:val="pl-PL"/>
              </w:rPr>
              <w:t>usg</w:t>
            </w:r>
            <w:proofErr w:type="spellEnd"/>
            <w:r w:rsidRPr="00D245DE">
              <w:rPr>
                <w:rFonts w:eastAsia="Calibri"/>
                <w:sz w:val="18"/>
                <w:szCs w:val="18"/>
                <w:lang w:val="pl-PL"/>
              </w:rPr>
              <w:t>, tomografia komputerowa, rezonans magnetyczny z kontrastem lub bez, badanie izotopowe, angiografia)</w:t>
            </w:r>
          </w:p>
        </w:tc>
        <w:tc>
          <w:tcPr>
            <w:tcW w:w="4493" w:type="dxa"/>
            <w:shd w:val="clear" w:color="auto" w:fill="auto"/>
            <w:vAlign w:val="center"/>
          </w:tcPr>
          <w:p w14:paraId="12C79A85"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Wielotorbielowatość</w:t>
            </w:r>
          </w:p>
          <w:p w14:paraId="0E7F8CE7"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Dysplazja</w:t>
            </w:r>
          </w:p>
          <w:p w14:paraId="4E4D3051"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Wodonercze</w:t>
            </w:r>
          </w:p>
          <w:p w14:paraId="02436853"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Bliznowacenie kory nerek</w:t>
            </w:r>
          </w:p>
          <w:p w14:paraId="6F05E3E8"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Guzy lub choroby naciekowe</w:t>
            </w:r>
          </w:p>
          <w:p w14:paraId="50053E7B"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Zwężenie tętnicy nerkowej</w:t>
            </w:r>
          </w:p>
          <w:p w14:paraId="743AE78C" w14:textId="77777777" w:rsidR="00645A46" w:rsidRPr="0002448D" w:rsidRDefault="00645A46" w:rsidP="00F84B72">
            <w:pPr>
              <w:pStyle w:val="EYBulletedList1"/>
              <w:numPr>
                <w:ilvl w:val="0"/>
                <w:numId w:val="11"/>
              </w:numPr>
              <w:spacing w:beforeLines="20" w:before="48" w:afterLines="20" w:after="48"/>
              <w:ind w:left="289" w:hanging="289"/>
              <w:rPr>
                <w:sz w:val="18"/>
                <w:szCs w:val="18"/>
                <w:lang w:val="pl-PL"/>
              </w:rPr>
            </w:pPr>
            <w:r w:rsidRPr="0002448D">
              <w:rPr>
                <w:sz w:val="18"/>
                <w:szCs w:val="18"/>
                <w:lang w:val="pl-PL"/>
              </w:rPr>
              <w:t xml:space="preserve">Nerki małe o zwiększonej </w:t>
            </w:r>
            <w:proofErr w:type="spellStart"/>
            <w:r w:rsidRPr="0002448D">
              <w:rPr>
                <w:sz w:val="18"/>
                <w:szCs w:val="18"/>
                <w:lang w:val="pl-PL"/>
              </w:rPr>
              <w:t>echogeniczności</w:t>
            </w:r>
            <w:proofErr w:type="spellEnd"/>
          </w:p>
        </w:tc>
      </w:tr>
      <w:tr w:rsidR="00645A46" w:rsidRPr="00C57815" w14:paraId="3AC7BDD1" w14:textId="77777777" w:rsidTr="00645A46">
        <w:trPr>
          <w:trHeight w:val="2295"/>
        </w:trPr>
        <w:tc>
          <w:tcPr>
            <w:tcW w:w="2268" w:type="dxa"/>
            <w:vMerge/>
            <w:shd w:val="clear" w:color="auto" w:fill="auto"/>
            <w:vAlign w:val="center"/>
          </w:tcPr>
          <w:p w14:paraId="0E457032" w14:textId="77777777" w:rsidR="00645A46" w:rsidRPr="0002448D" w:rsidRDefault="00645A46" w:rsidP="0002448D">
            <w:pPr>
              <w:spacing w:before="60" w:after="60" w:line="240" w:lineRule="auto"/>
              <w:jc w:val="left"/>
              <w:rPr>
                <w:rFonts w:eastAsia="Calibri"/>
                <w:sz w:val="18"/>
                <w:szCs w:val="18"/>
                <w:lang w:val="pl-PL"/>
              </w:rPr>
            </w:pPr>
          </w:p>
        </w:tc>
        <w:tc>
          <w:tcPr>
            <w:tcW w:w="2268" w:type="dxa"/>
            <w:shd w:val="clear" w:color="auto" w:fill="F2F2F2" w:themeFill="background1" w:themeFillShade="F2"/>
            <w:vAlign w:val="center"/>
          </w:tcPr>
          <w:p w14:paraId="18EDE90F" w14:textId="021062A9" w:rsidR="00645A46" w:rsidRPr="00D245DE" w:rsidRDefault="00645A46" w:rsidP="0002448D">
            <w:pPr>
              <w:spacing w:before="60" w:after="60" w:line="240" w:lineRule="auto"/>
              <w:jc w:val="left"/>
              <w:rPr>
                <w:rFonts w:eastAsia="Calibri"/>
                <w:sz w:val="18"/>
                <w:szCs w:val="18"/>
                <w:lang w:val="pl-PL"/>
              </w:rPr>
            </w:pPr>
            <w:r>
              <w:rPr>
                <w:rFonts w:eastAsia="Calibri"/>
                <w:sz w:val="18"/>
                <w:szCs w:val="18"/>
                <w:lang w:val="pl-PL"/>
              </w:rPr>
              <w:t>Stan</w:t>
            </w:r>
            <w:r w:rsidRPr="0002448D">
              <w:rPr>
                <w:rFonts w:eastAsia="Calibri"/>
                <w:sz w:val="18"/>
                <w:szCs w:val="18"/>
                <w:lang w:val="pl-PL"/>
              </w:rPr>
              <w:t xml:space="preserve"> po przeszczepieniu nerki</w:t>
            </w:r>
          </w:p>
        </w:tc>
        <w:tc>
          <w:tcPr>
            <w:tcW w:w="4493" w:type="dxa"/>
            <w:shd w:val="clear" w:color="auto" w:fill="auto"/>
            <w:vAlign w:val="center"/>
          </w:tcPr>
          <w:p w14:paraId="4CBF65F0" w14:textId="77777777" w:rsidR="00645A46" w:rsidRPr="008F4D0C" w:rsidRDefault="00645A46" w:rsidP="00645A46">
            <w:pPr>
              <w:pStyle w:val="EYBulletedList1"/>
              <w:numPr>
                <w:ilvl w:val="0"/>
                <w:numId w:val="11"/>
              </w:numPr>
              <w:spacing w:beforeLines="20" w:before="48" w:afterLines="20" w:after="48"/>
              <w:rPr>
                <w:sz w:val="18"/>
                <w:szCs w:val="18"/>
                <w:lang w:val="pl-PL"/>
              </w:rPr>
            </w:pPr>
            <w:r w:rsidRPr="008F4D0C">
              <w:rPr>
                <w:sz w:val="18"/>
                <w:szCs w:val="18"/>
                <w:lang w:val="pl-PL"/>
              </w:rPr>
              <w:t>U większości biorców nerki histopatologiczne zmiany w przeszczepionym narządzie występują nawet jeżeli GFR przekracza 60 ml/min/1,73m2 (stadium G1-G2), a ACR wynosi poniżej 30 mg/g (3 mg/</w:t>
            </w:r>
            <w:proofErr w:type="spellStart"/>
            <w:r w:rsidRPr="008F4D0C">
              <w:rPr>
                <w:sz w:val="18"/>
                <w:szCs w:val="18"/>
                <w:lang w:val="pl-PL"/>
              </w:rPr>
              <w:t>mmol</w:t>
            </w:r>
            <w:proofErr w:type="spellEnd"/>
            <w:r w:rsidRPr="008F4D0C">
              <w:rPr>
                <w:sz w:val="18"/>
                <w:szCs w:val="18"/>
                <w:lang w:val="pl-PL"/>
              </w:rPr>
              <w:t xml:space="preserve">) </w:t>
            </w:r>
          </w:p>
          <w:p w14:paraId="65B67789" w14:textId="77777777" w:rsidR="00645A46" w:rsidRPr="008F4D0C" w:rsidRDefault="00645A46" w:rsidP="00645A46">
            <w:pPr>
              <w:pStyle w:val="EYBulletedList1"/>
              <w:numPr>
                <w:ilvl w:val="0"/>
                <w:numId w:val="11"/>
              </w:numPr>
              <w:spacing w:beforeLines="20" w:before="48" w:afterLines="20" w:after="48"/>
              <w:rPr>
                <w:sz w:val="18"/>
                <w:szCs w:val="18"/>
                <w:lang w:val="pl-PL"/>
              </w:rPr>
            </w:pPr>
            <w:r w:rsidRPr="008F4D0C">
              <w:rPr>
                <w:sz w:val="18"/>
                <w:szCs w:val="18"/>
                <w:lang w:val="pl-PL"/>
              </w:rPr>
              <w:t>W porównaniu do populacji bez chorób nerek, u chorych po przeszczepie nerki występuje zwiększone ryzyko zgonu oraz rozwoju niewydolności nerek</w:t>
            </w:r>
          </w:p>
          <w:p w14:paraId="7A12B572" w14:textId="77777777" w:rsidR="00645A46" w:rsidRPr="008F4D0C" w:rsidRDefault="00645A46" w:rsidP="00645A46">
            <w:pPr>
              <w:pStyle w:val="EYBulletedList1"/>
              <w:numPr>
                <w:ilvl w:val="0"/>
                <w:numId w:val="0"/>
              </w:numPr>
              <w:spacing w:beforeLines="20" w:before="48" w:afterLines="20" w:after="48"/>
              <w:rPr>
                <w:sz w:val="18"/>
                <w:szCs w:val="18"/>
                <w:lang w:val="pl-PL"/>
              </w:rPr>
            </w:pPr>
          </w:p>
        </w:tc>
      </w:tr>
    </w:tbl>
    <w:p w14:paraId="760EC6EB" w14:textId="77777777" w:rsidR="00832C37" w:rsidRDefault="00A72683" w:rsidP="007E3F62">
      <w:pPr>
        <w:rPr>
          <w:sz w:val="18"/>
          <w:lang w:val="pl-PL"/>
        </w:rPr>
      </w:pPr>
      <w:proofErr w:type="spellStart"/>
      <w:r>
        <w:rPr>
          <w:rFonts w:eastAsia="Calibri"/>
          <w:sz w:val="18"/>
        </w:rPr>
        <w:t>Źródło</w:t>
      </w:r>
      <w:proofErr w:type="spellEnd"/>
      <w:r w:rsidR="00BE6340" w:rsidRPr="00BE6340">
        <w:rPr>
          <w:rFonts w:eastAsia="Calibri"/>
          <w:sz w:val="18"/>
        </w:rPr>
        <w:t xml:space="preserve">: </w:t>
      </w:r>
      <w:r w:rsidR="00874183" w:rsidRPr="00A72683">
        <w:rPr>
          <w:rFonts w:eastAsia="Calibri"/>
          <w:sz w:val="18"/>
        </w:rPr>
        <w:t>1.</w:t>
      </w:r>
      <w:r w:rsidR="00874183">
        <w:rPr>
          <w:rFonts w:eastAsia="Calibri"/>
          <w:sz w:val="18"/>
        </w:rPr>
        <w:t xml:space="preserve"> </w:t>
      </w:r>
      <w:r w:rsidR="00BE6340" w:rsidRPr="00BE6340">
        <w:rPr>
          <w:sz w:val="18"/>
        </w:rPr>
        <w:t>KDIGO 2012 Clinical Practice Guideline for the Evaluation and Management of Chronic Kidney Disease, Official Journal of the International Society of Nephrology, 2013</w:t>
      </w:r>
      <w:r w:rsidR="000A363B">
        <w:rPr>
          <w:sz w:val="18"/>
        </w:rPr>
        <w:t xml:space="preserve">; </w:t>
      </w:r>
      <w:r w:rsidR="00874183">
        <w:rPr>
          <w:sz w:val="18"/>
        </w:rPr>
        <w:t xml:space="preserve">2. </w:t>
      </w:r>
      <w:r w:rsidR="000A363B" w:rsidRPr="00C57815">
        <w:rPr>
          <w:sz w:val="18"/>
          <w:lang w:val="pl-PL"/>
        </w:rPr>
        <w:t xml:space="preserve">Pod red. </w:t>
      </w:r>
      <w:r w:rsidR="00874183" w:rsidRPr="00C57815">
        <w:rPr>
          <w:sz w:val="18"/>
          <w:lang w:val="pl-PL"/>
        </w:rPr>
        <w:t xml:space="preserve">nauk. </w:t>
      </w:r>
      <w:r w:rsidR="000A363B" w:rsidRPr="00874183">
        <w:rPr>
          <w:sz w:val="18"/>
          <w:lang w:val="pl-PL"/>
        </w:rPr>
        <w:t>Gajewski P., Interna Szczeklika, Medycyna Praktyczna, 2016, s. 1509</w:t>
      </w:r>
    </w:p>
    <w:p w14:paraId="2FF214B8" w14:textId="77777777" w:rsidR="004E663B" w:rsidRPr="00112946" w:rsidRDefault="004E663B" w:rsidP="004E663B">
      <w:pPr>
        <w:rPr>
          <w:rFonts w:eastAsia="Calibri"/>
          <w:lang w:val="pl-PL"/>
        </w:rPr>
      </w:pPr>
      <w:r w:rsidRPr="009E552F">
        <w:rPr>
          <w:rFonts w:eastAsia="Calibri"/>
          <w:lang w:val="pl-PL"/>
        </w:rPr>
        <w:t xml:space="preserve">Pełne rozpoznanie </w:t>
      </w:r>
      <w:proofErr w:type="spellStart"/>
      <w:r w:rsidRPr="009E552F">
        <w:rPr>
          <w:rFonts w:eastAsia="Calibri"/>
          <w:lang w:val="pl-PL"/>
        </w:rPr>
        <w:t>PChN</w:t>
      </w:r>
      <w:proofErr w:type="spellEnd"/>
      <w:r w:rsidRPr="009E552F">
        <w:rPr>
          <w:rFonts w:eastAsia="Calibri"/>
          <w:lang w:val="pl-PL"/>
        </w:rPr>
        <w:t xml:space="preserve"> </w:t>
      </w:r>
      <w:r w:rsidRPr="00112946">
        <w:rPr>
          <w:rFonts w:eastAsia="Calibri"/>
          <w:lang w:val="pl-PL"/>
        </w:rPr>
        <w:t xml:space="preserve">zawiera nazwę (przyczynę </w:t>
      </w:r>
      <w:proofErr w:type="spellStart"/>
      <w:r w:rsidRPr="00112946">
        <w:rPr>
          <w:rFonts w:eastAsia="Calibri"/>
          <w:lang w:val="pl-PL"/>
        </w:rPr>
        <w:t>PChN</w:t>
      </w:r>
      <w:proofErr w:type="spellEnd"/>
      <w:r w:rsidRPr="00112946">
        <w:rPr>
          <w:rFonts w:eastAsia="Calibri"/>
          <w:lang w:val="pl-PL"/>
        </w:rPr>
        <w:t xml:space="preserve"> – np. nefropatia cukrzycowa) oraz prawidłowo przyporządkowane kategorie wielkości przesączania kłębuszkowego (kategoria G) oraz wielkości albuminurii (kategoria </w:t>
      </w:r>
      <w:r w:rsidRPr="00112946">
        <w:rPr>
          <w:rFonts w:eastAsia="Calibri"/>
          <w:szCs w:val="22"/>
          <w:lang w:val="pl-PL"/>
        </w:rPr>
        <w:t xml:space="preserve">A). </w:t>
      </w:r>
    </w:p>
    <w:p w14:paraId="75119E3F" w14:textId="77777777" w:rsidR="004E663B" w:rsidRPr="004E663B" w:rsidRDefault="004E663B" w:rsidP="004E663B">
      <w:pPr>
        <w:rPr>
          <w:rFonts w:eastAsia="Calibri"/>
          <w:lang w:val="pl-PL"/>
        </w:rPr>
      </w:pPr>
      <w:r w:rsidRPr="004E663B">
        <w:rPr>
          <w:rFonts w:eastAsia="Calibri"/>
          <w:lang w:val="pl-PL"/>
        </w:rPr>
        <w:t xml:space="preserve">Nieprawidłowości w zakresie filtracji kłębuszkowej są mierzone za pomocą wskaźnika </w:t>
      </w:r>
      <w:proofErr w:type="spellStart"/>
      <w:r w:rsidRPr="004E663B">
        <w:rPr>
          <w:rFonts w:eastAsia="Calibri"/>
          <w:lang w:val="pl-PL"/>
        </w:rPr>
        <w:t>eGFR</w:t>
      </w:r>
      <w:proofErr w:type="spellEnd"/>
      <w:r w:rsidRPr="004E663B">
        <w:rPr>
          <w:rFonts w:eastAsia="Calibri"/>
          <w:lang w:val="pl-PL"/>
        </w:rPr>
        <w:t xml:space="preserve"> (</w:t>
      </w:r>
      <w:proofErr w:type="spellStart"/>
      <w:r w:rsidRPr="004E663B">
        <w:rPr>
          <w:rFonts w:eastAsia="Calibri"/>
          <w:lang w:val="pl-PL"/>
        </w:rPr>
        <w:t>estimated</w:t>
      </w:r>
      <w:proofErr w:type="spellEnd"/>
      <w:r w:rsidRPr="004E663B">
        <w:rPr>
          <w:rFonts w:eastAsia="Calibri"/>
          <w:lang w:val="pl-PL"/>
        </w:rPr>
        <w:t xml:space="preserve"> </w:t>
      </w:r>
      <w:proofErr w:type="spellStart"/>
      <w:r w:rsidRPr="004E663B">
        <w:rPr>
          <w:rFonts w:eastAsia="Calibri"/>
          <w:lang w:val="pl-PL"/>
        </w:rPr>
        <w:t>glomerular</w:t>
      </w:r>
      <w:proofErr w:type="spellEnd"/>
      <w:r w:rsidRPr="004E663B">
        <w:rPr>
          <w:rFonts w:eastAsia="Calibri"/>
          <w:lang w:val="pl-PL"/>
        </w:rPr>
        <w:t xml:space="preserve"> </w:t>
      </w:r>
      <w:proofErr w:type="spellStart"/>
      <w:r w:rsidRPr="004E663B">
        <w:rPr>
          <w:rFonts w:eastAsia="Calibri"/>
          <w:lang w:val="pl-PL"/>
        </w:rPr>
        <w:t>filtration</w:t>
      </w:r>
      <w:proofErr w:type="spellEnd"/>
      <w:r w:rsidRPr="004E663B">
        <w:rPr>
          <w:rFonts w:eastAsia="Calibri"/>
          <w:lang w:val="pl-PL"/>
        </w:rPr>
        <w:t xml:space="preserve"> </w:t>
      </w:r>
      <w:proofErr w:type="spellStart"/>
      <w:r w:rsidRPr="004E663B">
        <w:rPr>
          <w:rFonts w:eastAsia="Calibri"/>
          <w:lang w:val="pl-PL"/>
        </w:rPr>
        <w:t>rate</w:t>
      </w:r>
      <w:proofErr w:type="spellEnd"/>
      <w:r w:rsidRPr="004E663B">
        <w:rPr>
          <w:rFonts w:eastAsia="Calibri"/>
          <w:lang w:val="pl-PL"/>
        </w:rPr>
        <w:t xml:space="preserve">). Wskaźnik </w:t>
      </w:r>
      <w:proofErr w:type="spellStart"/>
      <w:r w:rsidRPr="004E663B">
        <w:rPr>
          <w:rFonts w:eastAsia="Calibri"/>
          <w:lang w:val="pl-PL"/>
        </w:rPr>
        <w:t>eGFR</w:t>
      </w:r>
      <w:proofErr w:type="spellEnd"/>
      <w:r w:rsidRPr="004E663B">
        <w:rPr>
          <w:rFonts w:eastAsia="Calibri"/>
          <w:lang w:val="pl-PL"/>
        </w:rPr>
        <w:t xml:space="preserve"> otrzymuje się na podstawie stężenia kreatyniny w surowicy krwi z uwzględnieniem podstawowych informacji dotyczących badanego (np. płeć, wiek, waga, rasa). Podstawowymi wzorami stosowanymi do estymacji </w:t>
      </w:r>
      <w:proofErr w:type="spellStart"/>
      <w:r w:rsidR="005100B2">
        <w:rPr>
          <w:rFonts w:eastAsia="Calibri"/>
          <w:lang w:val="pl-PL"/>
        </w:rPr>
        <w:t>eGFR</w:t>
      </w:r>
      <w:proofErr w:type="spellEnd"/>
      <w:r w:rsidR="005100B2">
        <w:rPr>
          <w:rFonts w:eastAsia="Calibri"/>
          <w:lang w:val="pl-PL"/>
        </w:rPr>
        <w:t xml:space="preserve"> są wzory np. CKD-EPI, MDRD</w:t>
      </w:r>
      <w:r w:rsidRPr="004E663B">
        <w:rPr>
          <w:rFonts w:eastAsia="Calibri"/>
          <w:lang w:val="pl-PL"/>
        </w:rPr>
        <w:t xml:space="preserve">. </w:t>
      </w:r>
      <w:proofErr w:type="spellStart"/>
      <w:r w:rsidRPr="004E663B">
        <w:rPr>
          <w:rFonts w:eastAsia="Calibri"/>
          <w:lang w:val="pl-PL"/>
        </w:rPr>
        <w:t>eGFR</w:t>
      </w:r>
      <w:proofErr w:type="spellEnd"/>
      <w:r w:rsidRPr="004E663B">
        <w:rPr>
          <w:rFonts w:eastAsia="Calibri"/>
          <w:lang w:val="pl-PL"/>
        </w:rPr>
        <w:t xml:space="preserve"> jest podawany w jednostce ml/min/1,73 m</w:t>
      </w:r>
      <w:r w:rsidRPr="00112946">
        <w:rPr>
          <w:rFonts w:eastAsia="Calibri"/>
          <w:vertAlign w:val="superscript"/>
          <w:lang w:val="pl-PL"/>
        </w:rPr>
        <w:t>2</w:t>
      </w:r>
      <w:r w:rsidRPr="004E663B">
        <w:rPr>
          <w:rFonts w:eastAsia="Calibri"/>
          <w:lang w:val="pl-PL"/>
        </w:rPr>
        <w:t xml:space="preserve"> i opisuje, jaka objętość krwi przesącza się przez nerki w ciągu jednej minuty na standardową powierzchnię ciała.</w:t>
      </w:r>
    </w:p>
    <w:p w14:paraId="3FF0DB10" w14:textId="77777777" w:rsidR="00505E3E" w:rsidRDefault="004E663B" w:rsidP="004E663B">
      <w:pPr>
        <w:rPr>
          <w:rFonts w:eastAsia="Calibri"/>
          <w:szCs w:val="22"/>
          <w:lang w:val="pl-PL"/>
        </w:rPr>
      </w:pPr>
      <w:r w:rsidRPr="004E663B">
        <w:rPr>
          <w:rFonts w:eastAsia="Calibri"/>
          <w:lang w:val="pl-PL"/>
        </w:rPr>
        <w:t>Wskaźniki albuminurii (występowania albumin w moczu) służą do opisywania zwiększonej przepuszczalności bariery kłębuszkowej. Powszechnymi wskaźnikami albuminurii są przykładowo: wskaźnik albumina/kreatynina (ACR; w pierwszej rannej lub przygodnej próbce moczu)</w:t>
      </w:r>
      <w:r w:rsidR="00192078">
        <w:rPr>
          <w:rFonts w:eastAsia="Calibri"/>
          <w:lang w:val="pl-PL"/>
        </w:rPr>
        <w:t xml:space="preserve"> lub</w:t>
      </w:r>
      <w:r w:rsidRPr="004E663B">
        <w:rPr>
          <w:rFonts w:eastAsia="Calibri"/>
          <w:lang w:val="pl-PL"/>
        </w:rPr>
        <w:t xml:space="preserve"> dobowe wydalanie albuminy z moczem (AER; w dobowej zbiórce moczu).</w:t>
      </w:r>
    </w:p>
    <w:p w14:paraId="1610B82D" w14:textId="7D55E5C9" w:rsidR="004E663B" w:rsidRDefault="00192078" w:rsidP="004E663B">
      <w:pPr>
        <w:rPr>
          <w:rFonts w:eastAsia="Calibri"/>
          <w:lang w:val="pl-PL"/>
        </w:rPr>
      </w:pPr>
      <w:r>
        <w:rPr>
          <w:rFonts w:eastAsia="Calibri"/>
          <w:szCs w:val="22"/>
          <w:lang w:val="pl-PL"/>
        </w:rPr>
        <w:lastRenderedPageBreak/>
        <w:t>K</w:t>
      </w:r>
      <w:r w:rsidR="004E663B">
        <w:rPr>
          <w:rFonts w:eastAsia="Calibri"/>
          <w:szCs w:val="22"/>
          <w:lang w:val="pl-PL"/>
        </w:rPr>
        <w:t>ategorie G i A są stosowane do o</w:t>
      </w:r>
      <w:r w:rsidR="004E663B">
        <w:rPr>
          <w:rFonts w:eastAsia="Calibri"/>
          <w:lang w:val="pl-PL"/>
        </w:rPr>
        <w:t xml:space="preserve">kreślenia stopnia zaawansowania </w:t>
      </w:r>
      <w:proofErr w:type="spellStart"/>
      <w:r w:rsidR="004E663B">
        <w:rPr>
          <w:rFonts w:eastAsia="Calibri"/>
          <w:lang w:val="pl-PL"/>
        </w:rPr>
        <w:t>PChN</w:t>
      </w:r>
      <w:proofErr w:type="spellEnd"/>
      <w:r w:rsidR="004E663B" w:rsidRPr="007F6F81">
        <w:rPr>
          <w:rStyle w:val="Odwoanieprzypisudolnego"/>
          <w:rFonts w:eastAsia="Calibri"/>
          <w:sz w:val="22"/>
          <w:szCs w:val="22"/>
          <w:lang w:val="pl-PL"/>
        </w:rPr>
        <w:footnoteReference w:id="15"/>
      </w:r>
      <w:r w:rsidR="004E663B" w:rsidRPr="007F6F81">
        <w:rPr>
          <w:rFonts w:eastAsia="Calibri"/>
          <w:szCs w:val="22"/>
          <w:lang w:val="pl-PL"/>
        </w:rPr>
        <w:t>.</w:t>
      </w:r>
      <w:r>
        <w:rPr>
          <w:rFonts w:eastAsia="Calibri"/>
          <w:szCs w:val="22"/>
          <w:lang w:val="pl-PL"/>
        </w:rPr>
        <w:t xml:space="preserve"> Wartości i opis dla poszczególnych kategorii przedstawiono w tabeli </w:t>
      </w:r>
      <w:r w:rsidR="00AB3698">
        <w:rPr>
          <w:rFonts w:eastAsia="Calibri"/>
          <w:szCs w:val="22"/>
          <w:lang w:val="pl-PL"/>
        </w:rPr>
        <w:t>3</w:t>
      </w:r>
      <w:r>
        <w:rPr>
          <w:rFonts w:eastAsia="Calibri"/>
          <w:szCs w:val="22"/>
          <w:lang w:val="pl-PL"/>
        </w:rPr>
        <w:t>.</w:t>
      </w:r>
    </w:p>
    <w:p w14:paraId="1A765524" w14:textId="635D3C70" w:rsidR="00F134BB" w:rsidRPr="00322205" w:rsidRDefault="00F134BB" w:rsidP="00F134BB">
      <w:pPr>
        <w:pStyle w:val="Legenda"/>
        <w:keepNext/>
        <w:rPr>
          <w:b/>
          <w:i w:val="0"/>
          <w:color w:val="auto"/>
          <w:lang w:val="pl-PL"/>
        </w:rPr>
      </w:pPr>
      <w:bookmarkStart w:id="41" w:name="_Toc486537966"/>
      <w:r w:rsidRPr="00322205">
        <w:rPr>
          <w:b/>
          <w:i w:val="0"/>
          <w:color w:val="auto"/>
          <w:lang w:val="pl-PL"/>
        </w:rPr>
        <w:t xml:space="preserve">Tabela </w:t>
      </w:r>
      <w:r w:rsidRPr="00322205">
        <w:rPr>
          <w:b/>
          <w:i w:val="0"/>
          <w:color w:val="auto"/>
        </w:rPr>
        <w:fldChar w:fldCharType="begin"/>
      </w:r>
      <w:r w:rsidRPr="00322205">
        <w:rPr>
          <w:b/>
          <w:i w:val="0"/>
          <w:color w:val="auto"/>
          <w:lang w:val="pl-PL"/>
        </w:rPr>
        <w:instrText xml:space="preserve"> SEQ Tabela \* ARABIC </w:instrText>
      </w:r>
      <w:r w:rsidRPr="00322205">
        <w:rPr>
          <w:b/>
          <w:i w:val="0"/>
          <w:color w:val="auto"/>
        </w:rPr>
        <w:fldChar w:fldCharType="separate"/>
      </w:r>
      <w:r w:rsidR="005C7285">
        <w:rPr>
          <w:b/>
          <w:i w:val="0"/>
          <w:noProof/>
          <w:color w:val="auto"/>
          <w:lang w:val="pl-PL"/>
        </w:rPr>
        <w:t>3</w:t>
      </w:r>
      <w:r w:rsidRPr="00322205">
        <w:rPr>
          <w:b/>
          <w:i w:val="0"/>
          <w:color w:val="auto"/>
        </w:rPr>
        <w:fldChar w:fldCharType="end"/>
      </w:r>
      <w:r w:rsidRPr="00322205">
        <w:rPr>
          <w:b/>
          <w:i w:val="0"/>
          <w:color w:val="auto"/>
          <w:lang w:val="pl-PL"/>
        </w:rPr>
        <w:t xml:space="preserve"> Kategorie GFR </w:t>
      </w:r>
      <w:r>
        <w:rPr>
          <w:b/>
          <w:i w:val="0"/>
          <w:color w:val="auto"/>
          <w:lang w:val="pl-PL"/>
        </w:rPr>
        <w:t>i</w:t>
      </w:r>
      <w:r w:rsidRPr="00322205">
        <w:rPr>
          <w:b/>
          <w:i w:val="0"/>
          <w:color w:val="auto"/>
          <w:lang w:val="pl-PL"/>
        </w:rPr>
        <w:t xml:space="preserve"> albuminuri</w:t>
      </w:r>
      <w:r>
        <w:rPr>
          <w:b/>
          <w:i w:val="0"/>
          <w:color w:val="auto"/>
          <w:lang w:val="pl-PL"/>
        </w:rPr>
        <w:t>i</w:t>
      </w:r>
      <w:r w:rsidRPr="00322205">
        <w:rPr>
          <w:b/>
          <w:i w:val="0"/>
          <w:color w:val="auto"/>
          <w:lang w:val="pl-PL"/>
        </w:rPr>
        <w:t xml:space="preserve"> służące klasyfikacji pacjentów z </w:t>
      </w:r>
      <w:proofErr w:type="spellStart"/>
      <w:r w:rsidRPr="00322205">
        <w:rPr>
          <w:b/>
          <w:i w:val="0"/>
          <w:color w:val="auto"/>
          <w:lang w:val="pl-PL"/>
        </w:rPr>
        <w:t>PChN</w:t>
      </w:r>
      <w:bookmarkEnd w:id="41"/>
      <w:proofErr w:type="spellEnd"/>
    </w:p>
    <w:tbl>
      <w:tblPr>
        <w:tblStyle w:val="Tabela-Siatka"/>
        <w:tblW w:w="0" w:type="auto"/>
        <w:tblBorders>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6"/>
        <w:gridCol w:w="2005"/>
        <w:gridCol w:w="2005"/>
        <w:gridCol w:w="3743"/>
      </w:tblGrid>
      <w:tr w:rsidR="00F134BB" w:rsidRPr="00C57815" w14:paraId="302AC009" w14:textId="77777777" w:rsidTr="00AA0CFD">
        <w:tc>
          <w:tcPr>
            <w:tcW w:w="9029" w:type="dxa"/>
            <w:gridSpan w:val="4"/>
            <w:shd w:val="clear" w:color="auto" w:fill="FFE600"/>
            <w:vAlign w:val="center"/>
          </w:tcPr>
          <w:p w14:paraId="48AD01CC" w14:textId="77777777" w:rsidR="00F134BB" w:rsidRPr="0002448D" w:rsidRDefault="00F134BB" w:rsidP="008C32D8">
            <w:pPr>
              <w:spacing w:before="60" w:after="60" w:line="240" w:lineRule="auto"/>
              <w:jc w:val="left"/>
              <w:rPr>
                <w:rFonts w:eastAsia="Calibri"/>
                <w:b/>
                <w:sz w:val="18"/>
                <w:szCs w:val="18"/>
                <w:lang w:val="pl-PL"/>
              </w:rPr>
            </w:pPr>
            <w:r w:rsidRPr="008C32D8">
              <w:rPr>
                <w:rFonts w:eastAsia="Calibri"/>
                <w:b/>
                <w:sz w:val="18"/>
                <w:szCs w:val="18"/>
                <w:lang w:val="pl-PL"/>
              </w:rPr>
              <w:t xml:space="preserve">Kategorie G przy rozpoznaniu </w:t>
            </w:r>
            <w:proofErr w:type="spellStart"/>
            <w:r w:rsidRPr="008C32D8">
              <w:rPr>
                <w:rFonts w:eastAsia="Calibri"/>
                <w:b/>
                <w:sz w:val="18"/>
                <w:szCs w:val="18"/>
                <w:lang w:val="pl-PL"/>
              </w:rPr>
              <w:t>PChN</w:t>
            </w:r>
            <w:proofErr w:type="spellEnd"/>
          </w:p>
        </w:tc>
      </w:tr>
      <w:tr w:rsidR="00F134BB" w:rsidRPr="0002448D" w14:paraId="5DB82BE2" w14:textId="77777777" w:rsidTr="00AA0CFD">
        <w:tc>
          <w:tcPr>
            <w:tcW w:w="1276" w:type="dxa"/>
            <w:shd w:val="clear" w:color="auto" w:fill="F2F2F2" w:themeFill="background1" w:themeFillShade="F2"/>
            <w:vAlign w:val="center"/>
          </w:tcPr>
          <w:p w14:paraId="7315D356" w14:textId="77777777" w:rsidR="00F134BB" w:rsidRPr="00A821E4" w:rsidRDefault="00F134BB" w:rsidP="00A875F2">
            <w:pPr>
              <w:spacing w:before="60" w:after="60" w:line="240" w:lineRule="auto"/>
              <w:jc w:val="left"/>
              <w:rPr>
                <w:rFonts w:eastAsia="Calibri"/>
                <w:b/>
                <w:sz w:val="18"/>
                <w:szCs w:val="18"/>
                <w:lang w:val="pl-PL"/>
              </w:rPr>
            </w:pPr>
            <w:r w:rsidRPr="00A821E4">
              <w:rPr>
                <w:rFonts w:eastAsia="Calibri"/>
                <w:b/>
                <w:sz w:val="18"/>
                <w:szCs w:val="18"/>
                <w:lang w:val="pl-PL"/>
              </w:rPr>
              <w:t>Kategorie GFR</w:t>
            </w:r>
          </w:p>
        </w:tc>
        <w:tc>
          <w:tcPr>
            <w:tcW w:w="4010" w:type="dxa"/>
            <w:gridSpan w:val="2"/>
            <w:shd w:val="clear" w:color="auto" w:fill="F2F2F2" w:themeFill="background1" w:themeFillShade="F2"/>
            <w:vAlign w:val="center"/>
          </w:tcPr>
          <w:p w14:paraId="275981AE" w14:textId="77777777" w:rsidR="00F134BB" w:rsidRDefault="00F134BB" w:rsidP="00AC52A2">
            <w:pPr>
              <w:spacing w:before="60" w:after="60" w:line="240" w:lineRule="auto"/>
              <w:jc w:val="center"/>
              <w:rPr>
                <w:rFonts w:eastAsia="Calibri"/>
                <w:b/>
                <w:sz w:val="18"/>
                <w:szCs w:val="18"/>
                <w:lang w:val="pl-PL"/>
              </w:rPr>
            </w:pPr>
            <w:r w:rsidRPr="00A821E4">
              <w:rPr>
                <w:rFonts w:eastAsia="Calibri"/>
                <w:b/>
                <w:sz w:val="18"/>
                <w:szCs w:val="18"/>
                <w:lang w:val="pl-PL"/>
              </w:rPr>
              <w:t xml:space="preserve">GFR </w:t>
            </w:r>
            <w:r>
              <w:rPr>
                <w:rFonts w:eastAsia="Calibri"/>
                <w:b/>
                <w:sz w:val="18"/>
                <w:szCs w:val="18"/>
                <w:lang w:val="pl-PL"/>
              </w:rPr>
              <w:t>– przesączanie kłębuszkowe</w:t>
            </w:r>
          </w:p>
          <w:p w14:paraId="2FD0B85E" w14:textId="77777777" w:rsidR="00F134BB" w:rsidRPr="00A821E4" w:rsidRDefault="00F134BB" w:rsidP="00AC52A2">
            <w:pPr>
              <w:spacing w:before="60" w:after="60" w:line="240" w:lineRule="auto"/>
              <w:jc w:val="center"/>
              <w:rPr>
                <w:rFonts w:eastAsia="Calibri"/>
                <w:b/>
                <w:sz w:val="18"/>
                <w:szCs w:val="18"/>
                <w:lang w:val="pl-PL"/>
              </w:rPr>
            </w:pPr>
            <w:r w:rsidRPr="00A821E4">
              <w:rPr>
                <w:rFonts w:eastAsia="Calibri"/>
                <w:b/>
                <w:sz w:val="18"/>
                <w:szCs w:val="18"/>
                <w:lang w:val="pl-PL"/>
              </w:rPr>
              <w:t>(ml/min/1,73m</w:t>
            </w:r>
            <w:r w:rsidRPr="00A821E4">
              <w:rPr>
                <w:rFonts w:eastAsia="Calibri"/>
                <w:b/>
                <w:sz w:val="18"/>
                <w:szCs w:val="18"/>
                <w:vertAlign w:val="superscript"/>
                <w:lang w:val="pl-PL"/>
              </w:rPr>
              <w:t>2</w:t>
            </w:r>
            <w:r>
              <w:rPr>
                <w:rFonts w:eastAsia="Calibri"/>
                <w:b/>
                <w:sz w:val="18"/>
                <w:szCs w:val="18"/>
                <w:lang w:val="pl-PL"/>
              </w:rPr>
              <w:t>)</w:t>
            </w:r>
          </w:p>
        </w:tc>
        <w:tc>
          <w:tcPr>
            <w:tcW w:w="3743" w:type="dxa"/>
            <w:shd w:val="clear" w:color="auto" w:fill="F2F2F2" w:themeFill="background1" w:themeFillShade="F2"/>
            <w:vAlign w:val="center"/>
          </w:tcPr>
          <w:p w14:paraId="753DC4EA" w14:textId="77777777" w:rsidR="00F134BB" w:rsidRPr="00A821E4" w:rsidRDefault="00F134BB" w:rsidP="00AC52A2">
            <w:pPr>
              <w:pStyle w:val="EYBulletedList1"/>
              <w:numPr>
                <w:ilvl w:val="0"/>
                <w:numId w:val="0"/>
              </w:numPr>
              <w:spacing w:beforeLines="20" w:before="48" w:afterLines="20" w:after="48"/>
              <w:jc w:val="center"/>
              <w:rPr>
                <w:b/>
                <w:sz w:val="18"/>
                <w:szCs w:val="18"/>
                <w:lang w:val="pl-PL"/>
              </w:rPr>
            </w:pPr>
            <w:r w:rsidRPr="00A821E4">
              <w:rPr>
                <w:b/>
                <w:sz w:val="18"/>
                <w:szCs w:val="18"/>
                <w:lang w:val="pl-PL"/>
              </w:rPr>
              <w:t>Opis</w:t>
            </w:r>
          </w:p>
        </w:tc>
      </w:tr>
      <w:tr w:rsidR="00F134BB" w:rsidRPr="0002448D" w14:paraId="5C4D7F44" w14:textId="77777777" w:rsidTr="00AE05CA">
        <w:tc>
          <w:tcPr>
            <w:tcW w:w="1276" w:type="dxa"/>
            <w:shd w:val="clear" w:color="auto" w:fill="auto"/>
            <w:vAlign w:val="center"/>
          </w:tcPr>
          <w:p w14:paraId="7D786613"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G1</w:t>
            </w:r>
          </w:p>
        </w:tc>
        <w:tc>
          <w:tcPr>
            <w:tcW w:w="4010" w:type="dxa"/>
            <w:gridSpan w:val="2"/>
            <w:shd w:val="clear" w:color="auto" w:fill="auto"/>
            <w:vAlign w:val="center"/>
          </w:tcPr>
          <w:p w14:paraId="0EF0D31A"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≥90</w:t>
            </w:r>
          </w:p>
        </w:tc>
        <w:tc>
          <w:tcPr>
            <w:tcW w:w="3743" w:type="dxa"/>
            <w:shd w:val="clear" w:color="auto" w:fill="auto"/>
            <w:vAlign w:val="center"/>
          </w:tcPr>
          <w:p w14:paraId="47DF4B03" w14:textId="77777777" w:rsidR="00F134BB" w:rsidRPr="0002448D" w:rsidRDefault="00F134BB" w:rsidP="00A875F2">
            <w:pPr>
              <w:pStyle w:val="EYBulletedList1"/>
              <w:numPr>
                <w:ilvl w:val="0"/>
                <w:numId w:val="0"/>
              </w:numPr>
              <w:spacing w:beforeLines="20" w:before="48" w:afterLines="20" w:after="48"/>
              <w:rPr>
                <w:sz w:val="18"/>
                <w:szCs w:val="18"/>
                <w:lang w:val="pl-PL"/>
              </w:rPr>
            </w:pPr>
            <w:r>
              <w:rPr>
                <w:sz w:val="18"/>
                <w:szCs w:val="18"/>
                <w:lang w:val="pl-PL"/>
              </w:rPr>
              <w:t>Prawidłowe lub zwiększone GFR</w:t>
            </w:r>
          </w:p>
        </w:tc>
      </w:tr>
      <w:tr w:rsidR="00F134BB" w:rsidRPr="0002448D" w14:paraId="138220A5" w14:textId="77777777" w:rsidTr="00AE05CA">
        <w:tc>
          <w:tcPr>
            <w:tcW w:w="1276" w:type="dxa"/>
            <w:shd w:val="clear" w:color="auto" w:fill="auto"/>
            <w:vAlign w:val="center"/>
          </w:tcPr>
          <w:p w14:paraId="241830FE"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G2</w:t>
            </w:r>
          </w:p>
        </w:tc>
        <w:tc>
          <w:tcPr>
            <w:tcW w:w="4010" w:type="dxa"/>
            <w:gridSpan w:val="2"/>
            <w:shd w:val="clear" w:color="auto" w:fill="auto"/>
            <w:vAlign w:val="center"/>
          </w:tcPr>
          <w:p w14:paraId="4F1C3938"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60-89</w:t>
            </w:r>
          </w:p>
        </w:tc>
        <w:tc>
          <w:tcPr>
            <w:tcW w:w="3743" w:type="dxa"/>
            <w:shd w:val="clear" w:color="auto" w:fill="auto"/>
            <w:vAlign w:val="center"/>
          </w:tcPr>
          <w:p w14:paraId="08CBF4FC" w14:textId="77777777" w:rsidR="00F134BB" w:rsidRPr="0002448D" w:rsidRDefault="00F134BB" w:rsidP="00A875F2">
            <w:pPr>
              <w:pStyle w:val="EYBulletedList1"/>
              <w:numPr>
                <w:ilvl w:val="0"/>
                <w:numId w:val="0"/>
              </w:numPr>
              <w:spacing w:beforeLines="20" w:before="48" w:afterLines="20" w:after="48"/>
              <w:rPr>
                <w:sz w:val="18"/>
                <w:szCs w:val="18"/>
                <w:lang w:val="pl-PL"/>
              </w:rPr>
            </w:pPr>
            <w:r>
              <w:rPr>
                <w:sz w:val="18"/>
                <w:szCs w:val="18"/>
                <w:lang w:val="pl-PL"/>
              </w:rPr>
              <w:t>Niewielkie zmniejszenie GFR</w:t>
            </w:r>
          </w:p>
        </w:tc>
      </w:tr>
      <w:tr w:rsidR="00F134BB" w:rsidRPr="00C57815" w14:paraId="4B4AF846" w14:textId="77777777" w:rsidTr="00AE05CA">
        <w:tc>
          <w:tcPr>
            <w:tcW w:w="1276" w:type="dxa"/>
            <w:shd w:val="clear" w:color="auto" w:fill="auto"/>
            <w:vAlign w:val="center"/>
          </w:tcPr>
          <w:p w14:paraId="022B1D28"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G3a</w:t>
            </w:r>
          </w:p>
        </w:tc>
        <w:tc>
          <w:tcPr>
            <w:tcW w:w="4010" w:type="dxa"/>
            <w:gridSpan w:val="2"/>
            <w:shd w:val="clear" w:color="auto" w:fill="auto"/>
            <w:vAlign w:val="center"/>
          </w:tcPr>
          <w:p w14:paraId="4B0A3862"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45-59</w:t>
            </w:r>
          </w:p>
        </w:tc>
        <w:tc>
          <w:tcPr>
            <w:tcW w:w="3743" w:type="dxa"/>
            <w:shd w:val="clear" w:color="auto" w:fill="auto"/>
            <w:vAlign w:val="center"/>
          </w:tcPr>
          <w:p w14:paraId="6221F1ED" w14:textId="77777777" w:rsidR="00F134BB" w:rsidRPr="0002448D" w:rsidRDefault="00F134BB" w:rsidP="00A875F2">
            <w:pPr>
              <w:pStyle w:val="EYBulletedList1"/>
              <w:numPr>
                <w:ilvl w:val="0"/>
                <w:numId w:val="0"/>
              </w:numPr>
              <w:spacing w:beforeLines="20" w:before="48" w:afterLines="20" w:after="48"/>
              <w:rPr>
                <w:sz w:val="18"/>
                <w:szCs w:val="18"/>
                <w:lang w:val="pl-PL"/>
              </w:rPr>
            </w:pPr>
            <w:r>
              <w:rPr>
                <w:sz w:val="18"/>
                <w:szCs w:val="18"/>
                <w:lang w:val="pl-PL"/>
              </w:rPr>
              <w:t>Zmniejszenie GFR między niewielkim a umiarkowanym</w:t>
            </w:r>
          </w:p>
        </w:tc>
      </w:tr>
      <w:tr w:rsidR="00F134BB" w:rsidRPr="00C57815" w14:paraId="2EDA6C51" w14:textId="77777777" w:rsidTr="00AE05CA">
        <w:tc>
          <w:tcPr>
            <w:tcW w:w="1276" w:type="dxa"/>
            <w:shd w:val="clear" w:color="auto" w:fill="auto"/>
            <w:vAlign w:val="center"/>
          </w:tcPr>
          <w:p w14:paraId="162373D8"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G3b</w:t>
            </w:r>
          </w:p>
        </w:tc>
        <w:tc>
          <w:tcPr>
            <w:tcW w:w="4010" w:type="dxa"/>
            <w:gridSpan w:val="2"/>
            <w:shd w:val="clear" w:color="auto" w:fill="auto"/>
            <w:vAlign w:val="center"/>
          </w:tcPr>
          <w:p w14:paraId="691FD3D9"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30-44</w:t>
            </w:r>
          </w:p>
        </w:tc>
        <w:tc>
          <w:tcPr>
            <w:tcW w:w="3743" w:type="dxa"/>
            <w:shd w:val="clear" w:color="auto" w:fill="auto"/>
            <w:vAlign w:val="center"/>
          </w:tcPr>
          <w:p w14:paraId="050F1662" w14:textId="77777777" w:rsidR="00F134BB" w:rsidRPr="0002448D" w:rsidRDefault="00F134BB" w:rsidP="00A875F2">
            <w:pPr>
              <w:pStyle w:val="EYBulletedList1"/>
              <w:numPr>
                <w:ilvl w:val="0"/>
                <w:numId w:val="0"/>
              </w:numPr>
              <w:spacing w:beforeLines="20" w:before="48" w:afterLines="20" w:after="48"/>
              <w:rPr>
                <w:sz w:val="18"/>
                <w:szCs w:val="18"/>
                <w:lang w:val="pl-PL"/>
              </w:rPr>
            </w:pPr>
            <w:r>
              <w:rPr>
                <w:sz w:val="18"/>
                <w:szCs w:val="18"/>
                <w:lang w:val="pl-PL"/>
              </w:rPr>
              <w:t>Zmniejszenie GFR między umiarkowanym a ciężkim</w:t>
            </w:r>
          </w:p>
        </w:tc>
      </w:tr>
      <w:tr w:rsidR="00F134BB" w:rsidRPr="0002448D" w14:paraId="2C6ACD60" w14:textId="77777777" w:rsidTr="00AE05CA">
        <w:tc>
          <w:tcPr>
            <w:tcW w:w="1276" w:type="dxa"/>
            <w:shd w:val="clear" w:color="auto" w:fill="auto"/>
            <w:vAlign w:val="center"/>
          </w:tcPr>
          <w:p w14:paraId="0C7A3A8B"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G4</w:t>
            </w:r>
          </w:p>
        </w:tc>
        <w:tc>
          <w:tcPr>
            <w:tcW w:w="4010" w:type="dxa"/>
            <w:gridSpan w:val="2"/>
            <w:shd w:val="clear" w:color="auto" w:fill="auto"/>
            <w:vAlign w:val="center"/>
          </w:tcPr>
          <w:p w14:paraId="4824952D"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15-29</w:t>
            </w:r>
          </w:p>
        </w:tc>
        <w:tc>
          <w:tcPr>
            <w:tcW w:w="3743" w:type="dxa"/>
            <w:shd w:val="clear" w:color="auto" w:fill="auto"/>
            <w:vAlign w:val="center"/>
          </w:tcPr>
          <w:p w14:paraId="3E7BBF68" w14:textId="77777777" w:rsidR="00F134BB" w:rsidRPr="0002448D" w:rsidRDefault="00F134BB" w:rsidP="00A875F2">
            <w:pPr>
              <w:pStyle w:val="EYBulletedList1"/>
              <w:numPr>
                <w:ilvl w:val="0"/>
                <w:numId w:val="0"/>
              </w:numPr>
              <w:spacing w:beforeLines="20" w:before="48" w:afterLines="20" w:after="48"/>
              <w:rPr>
                <w:sz w:val="18"/>
                <w:szCs w:val="18"/>
                <w:lang w:val="pl-PL"/>
              </w:rPr>
            </w:pPr>
            <w:r>
              <w:rPr>
                <w:sz w:val="18"/>
                <w:szCs w:val="18"/>
                <w:lang w:val="pl-PL"/>
              </w:rPr>
              <w:t>Ciężkie zmniejszenie GFR</w:t>
            </w:r>
          </w:p>
        </w:tc>
      </w:tr>
      <w:tr w:rsidR="00F134BB" w:rsidRPr="0002448D" w14:paraId="19AD57AE" w14:textId="77777777" w:rsidTr="00AE05CA">
        <w:tc>
          <w:tcPr>
            <w:tcW w:w="1276" w:type="dxa"/>
            <w:shd w:val="clear" w:color="auto" w:fill="auto"/>
            <w:vAlign w:val="center"/>
          </w:tcPr>
          <w:p w14:paraId="1855B87D"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G5</w:t>
            </w:r>
          </w:p>
        </w:tc>
        <w:tc>
          <w:tcPr>
            <w:tcW w:w="4010" w:type="dxa"/>
            <w:gridSpan w:val="2"/>
            <w:shd w:val="clear" w:color="auto" w:fill="auto"/>
            <w:vAlign w:val="center"/>
          </w:tcPr>
          <w:p w14:paraId="2B935A5E" w14:textId="77777777" w:rsidR="00F134BB" w:rsidRPr="0002448D" w:rsidRDefault="00F134BB" w:rsidP="00AE05CA">
            <w:pPr>
              <w:spacing w:before="60" w:after="60" w:line="240" w:lineRule="auto"/>
              <w:jc w:val="center"/>
              <w:rPr>
                <w:rFonts w:eastAsia="Calibri"/>
                <w:sz w:val="18"/>
                <w:szCs w:val="18"/>
                <w:lang w:val="pl-PL"/>
              </w:rPr>
            </w:pPr>
            <w:r>
              <w:rPr>
                <w:rFonts w:eastAsia="Calibri"/>
                <w:sz w:val="18"/>
                <w:szCs w:val="18"/>
                <w:lang w:val="pl-PL"/>
              </w:rPr>
              <w:t>&lt;15</w:t>
            </w:r>
          </w:p>
        </w:tc>
        <w:tc>
          <w:tcPr>
            <w:tcW w:w="3743" w:type="dxa"/>
            <w:shd w:val="clear" w:color="auto" w:fill="auto"/>
            <w:vAlign w:val="center"/>
          </w:tcPr>
          <w:p w14:paraId="4EFEA283" w14:textId="77777777" w:rsidR="00F134BB" w:rsidRPr="0002448D" w:rsidRDefault="00F134BB" w:rsidP="00A875F2">
            <w:pPr>
              <w:spacing w:beforeLines="20" w:before="48" w:afterLines="20" w:after="48" w:line="240" w:lineRule="auto"/>
              <w:jc w:val="left"/>
              <w:rPr>
                <w:rFonts w:eastAsia="Calibri"/>
                <w:sz w:val="18"/>
                <w:szCs w:val="18"/>
                <w:lang w:val="pl-PL"/>
              </w:rPr>
            </w:pPr>
            <w:r>
              <w:rPr>
                <w:rFonts w:eastAsia="Calibri"/>
                <w:sz w:val="18"/>
                <w:szCs w:val="18"/>
                <w:lang w:val="pl-PL"/>
              </w:rPr>
              <w:t>Schyłkowa niewydolność nerek</w:t>
            </w:r>
          </w:p>
        </w:tc>
      </w:tr>
      <w:tr w:rsidR="00F134BB" w:rsidRPr="00C57815" w14:paraId="46513EF6" w14:textId="77777777" w:rsidTr="00AA0CFD">
        <w:tc>
          <w:tcPr>
            <w:tcW w:w="9029" w:type="dxa"/>
            <w:gridSpan w:val="4"/>
            <w:shd w:val="clear" w:color="auto" w:fill="FFE600"/>
          </w:tcPr>
          <w:p w14:paraId="2A096AC1" w14:textId="77777777" w:rsidR="00F134BB" w:rsidRPr="00BD05A0" w:rsidRDefault="00F134BB" w:rsidP="008C32D8">
            <w:pPr>
              <w:spacing w:before="60" w:after="60" w:line="240" w:lineRule="auto"/>
              <w:jc w:val="left"/>
              <w:rPr>
                <w:lang w:val="pl-PL"/>
              </w:rPr>
            </w:pPr>
            <w:r w:rsidRPr="008C32D8">
              <w:rPr>
                <w:rFonts w:eastAsia="Calibri"/>
                <w:b/>
                <w:sz w:val="18"/>
                <w:szCs w:val="18"/>
                <w:lang w:val="pl-PL"/>
              </w:rPr>
              <w:t xml:space="preserve">Kategorie A przy rozpoznaniu </w:t>
            </w:r>
            <w:proofErr w:type="spellStart"/>
            <w:r w:rsidRPr="008C32D8">
              <w:rPr>
                <w:rFonts w:eastAsia="Calibri"/>
                <w:b/>
                <w:sz w:val="18"/>
                <w:szCs w:val="18"/>
                <w:lang w:val="pl-PL"/>
              </w:rPr>
              <w:t>PChN</w:t>
            </w:r>
            <w:proofErr w:type="spellEnd"/>
          </w:p>
        </w:tc>
      </w:tr>
      <w:tr w:rsidR="00AA0CFD" w:rsidRPr="00AA0CFD" w14:paraId="127C1165" w14:textId="77777777" w:rsidTr="00AA0CFD">
        <w:tc>
          <w:tcPr>
            <w:tcW w:w="1276" w:type="dxa"/>
            <w:shd w:val="clear" w:color="auto" w:fill="F2F2F2" w:themeFill="background1" w:themeFillShade="F2"/>
            <w:vAlign w:val="center"/>
          </w:tcPr>
          <w:p w14:paraId="35E93CD5" w14:textId="77777777" w:rsidR="00AA0CFD" w:rsidRPr="00A821E4" w:rsidRDefault="00AA0CFD" w:rsidP="00A875F2">
            <w:pPr>
              <w:spacing w:before="60" w:after="60" w:line="240" w:lineRule="auto"/>
              <w:jc w:val="left"/>
              <w:rPr>
                <w:rFonts w:eastAsia="Calibri"/>
                <w:b/>
                <w:sz w:val="18"/>
                <w:szCs w:val="18"/>
                <w:lang w:val="pl-PL"/>
              </w:rPr>
            </w:pPr>
            <w:r w:rsidRPr="00A821E4">
              <w:rPr>
                <w:rFonts w:eastAsia="Calibri"/>
                <w:b/>
                <w:sz w:val="18"/>
                <w:szCs w:val="18"/>
                <w:lang w:val="pl-PL"/>
              </w:rPr>
              <w:t>Kategorie albuminurii</w:t>
            </w:r>
          </w:p>
        </w:tc>
        <w:tc>
          <w:tcPr>
            <w:tcW w:w="2005" w:type="dxa"/>
            <w:shd w:val="clear" w:color="auto" w:fill="F2F2F2" w:themeFill="background1" w:themeFillShade="F2"/>
            <w:vAlign w:val="center"/>
          </w:tcPr>
          <w:p w14:paraId="4FCF8C92" w14:textId="77777777" w:rsidR="00AA0CFD" w:rsidRDefault="00AA0CFD" w:rsidP="00AC52A2">
            <w:pPr>
              <w:spacing w:before="60" w:after="60" w:line="240" w:lineRule="auto"/>
              <w:jc w:val="center"/>
              <w:rPr>
                <w:rFonts w:eastAsia="Calibri"/>
                <w:b/>
                <w:sz w:val="18"/>
                <w:szCs w:val="18"/>
                <w:lang w:val="pl-PL"/>
              </w:rPr>
            </w:pPr>
            <w:r>
              <w:rPr>
                <w:rFonts w:eastAsia="Calibri"/>
                <w:b/>
                <w:sz w:val="18"/>
                <w:szCs w:val="18"/>
                <w:lang w:val="pl-PL"/>
              </w:rPr>
              <w:t>AER – d</w:t>
            </w:r>
            <w:r w:rsidRPr="00A821E4">
              <w:rPr>
                <w:rFonts w:eastAsia="Calibri"/>
                <w:b/>
                <w:sz w:val="18"/>
                <w:szCs w:val="18"/>
                <w:lang w:val="pl-PL"/>
              </w:rPr>
              <w:t>obowa utrata z moczem</w:t>
            </w:r>
          </w:p>
          <w:p w14:paraId="6850AB08" w14:textId="77777777" w:rsidR="00AA0CFD" w:rsidRPr="00A821E4" w:rsidRDefault="00AA0CFD" w:rsidP="00AC52A2">
            <w:pPr>
              <w:spacing w:before="60" w:after="60" w:line="240" w:lineRule="auto"/>
              <w:jc w:val="center"/>
              <w:rPr>
                <w:rFonts w:eastAsia="Calibri"/>
                <w:b/>
                <w:sz w:val="18"/>
                <w:szCs w:val="18"/>
                <w:lang w:val="pl-PL"/>
              </w:rPr>
            </w:pPr>
            <w:r>
              <w:rPr>
                <w:rFonts w:eastAsia="Calibri"/>
                <w:b/>
                <w:sz w:val="18"/>
                <w:szCs w:val="18"/>
                <w:lang w:val="pl-PL"/>
              </w:rPr>
              <w:t>(</w:t>
            </w:r>
            <w:r w:rsidRPr="00A821E4">
              <w:rPr>
                <w:rFonts w:eastAsia="Calibri"/>
                <w:b/>
                <w:sz w:val="18"/>
                <w:szCs w:val="18"/>
                <w:lang w:val="pl-PL"/>
              </w:rPr>
              <w:t>mg/24</w:t>
            </w:r>
            <w:r>
              <w:rPr>
                <w:rFonts w:eastAsia="Calibri"/>
                <w:b/>
                <w:sz w:val="18"/>
                <w:szCs w:val="18"/>
                <w:lang w:val="pl-PL"/>
              </w:rPr>
              <w:t xml:space="preserve"> godziny</w:t>
            </w:r>
            <w:r w:rsidRPr="00A821E4">
              <w:rPr>
                <w:rFonts w:eastAsia="Calibri"/>
                <w:b/>
                <w:sz w:val="18"/>
                <w:szCs w:val="18"/>
                <w:lang w:val="pl-PL"/>
              </w:rPr>
              <w:t>)</w:t>
            </w:r>
            <w:r w:rsidR="00C91DBC">
              <w:rPr>
                <w:rFonts w:eastAsia="Calibri"/>
                <w:b/>
                <w:sz w:val="18"/>
                <w:szCs w:val="18"/>
                <w:lang w:val="pl-PL"/>
              </w:rPr>
              <w:t>*</w:t>
            </w:r>
          </w:p>
        </w:tc>
        <w:tc>
          <w:tcPr>
            <w:tcW w:w="2005" w:type="dxa"/>
            <w:shd w:val="clear" w:color="auto" w:fill="F2F2F2" w:themeFill="background1" w:themeFillShade="F2"/>
            <w:vAlign w:val="center"/>
          </w:tcPr>
          <w:p w14:paraId="79BE449E" w14:textId="77777777" w:rsidR="00AA0CFD" w:rsidRPr="00AA0CFD" w:rsidRDefault="00AA0CFD" w:rsidP="00AC52A2">
            <w:pPr>
              <w:spacing w:beforeLines="20" w:before="48" w:afterLines="20" w:after="48" w:line="240" w:lineRule="auto"/>
              <w:jc w:val="center"/>
              <w:rPr>
                <w:rFonts w:eastAsia="Calibri"/>
                <w:b/>
                <w:sz w:val="18"/>
                <w:szCs w:val="18"/>
                <w:lang w:val="pl-PL"/>
              </w:rPr>
            </w:pPr>
            <w:r w:rsidRPr="00AA0CFD">
              <w:rPr>
                <w:rFonts w:eastAsia="Calibri"/>
                <w:b/>
                <w:sz w:val="18"/>
                <w:szCs w:val="18"/>
                <w:lang w:val="pl-PL"/>
              </w:rPr>
              <w:t>ACR</w:t>
            </w:r>
            <w:r>
              <w:rPr>
                <w:rFonts w:eastAsia="Calibri"/>
                <w:b/>
                <w:sz w:val="18"/>
                <w:szCs w:val="18"/>
                <w:lang w:val="pl-PL"/>
              </w:rPr>
              <w:t xml:space="preserve"> – </w:t>
            </w:r>
            <w:r w:rsidRPr="00AA0CFD">
              <w:rPr>
                <w:rFonts w:eastAsia="Calibri"/>
                <w:b/>
                <w:sz w:val="18"/>
                <w:szCs w:val="18"/>
                <w:lang w:val="pl-PL"/>
              </w:rPr>
              <w:t>wskaźnik albumina/kreatynina</w:t>
            </w:r>
          </w:p>
          <w:p w14:paraId="135B6520" w14:textId="77777777" w:rsidR="00AA0CFD" w:rsidRPr="00AA0CFD" w:rsidRDefault="00AA0CFD" w:rsidP="00AC52A2">
            <w:pPr>
              <w:spacing w:beforeLines="20" w:before="48" w:afterLines="20" w:after="48" w:line="240" w:lineRule="auto"/>
              <w:jc w:val="center"/>
              <w:rPr>
                <w:rFonts w:eastAsia="Calibri"/>
                <w:b/>
                <w:sz w:val="18"/>
                <w:szCs w:val="18"/>
                <w:lang w:val="pl-PL"/>
              </w:rPr>
            </w:pPr>
            <w:r w:rsidRPr="00AA0CFD">
              <w:rPr>
                <w:rFonts w:eastAsia="Calibri"/>
                <w:b/>
                <w:sz w:val="18"/>
                <w:szCs w:val="18"/>
                <w:lang w:val="pl-PL"/>
              </w:rPr>
              <w:t>(mg/g)</w:t>
            </w:r>
            <w:r w:rsidR="00C91DBC">
              <w:rPr>
                <w:rFonts w:eastAsia="Calibri"/>
                <w:b/>
                <w:sz w:val="18"/>
                <w:szCs w:val="18"/>
                <w:lang w:val="pl-PL"/>
              </w:rPr>
              <w:t>*</w:t>
            </w:r>
          </w:p>
        </w:tc>
        <w:tc>
          <w:tcPr>
            <w:tcW w:w="3743" w:type="dxa"/>
            <w:shd w:val="clear" w:color="auto" w:fill="F2F2F2" w:themeFill="background1" w:themeFillShade="F2"/>
            <w:vAlign w:val="center"/>
          </w:tcPr>
          <w:p w14:paraId="34433CB1" w14:textId="77777777" w:rsidR="00AA0CFD" w:rsidRPr="00AA0CFD" w:rsidRDefault="00AA0CFD" w:rsidP="00AC52A2">
            <w:pPr>
              <w:spacing w:beforeLines="20" w:before="48" w:afterLines="20" w:after="48" w:line="240" w:lineRule="auto"/>
              <w:jc w:val="center"/>
              <w:rPr>
                <w:rFonts w:eastAsia="Calibri"/>
                <w:b/>
                <w:sz w:val="18"/>
                <w:szCs w:val="18"/>
                <w:lang w:val="pl-PL"/>
              </w:rPr>
            </w:pPr>
            <w:r>
              <w:rPr>
                <w:rFonts w:eastAsia="Calibri"/>
                <w:b/>
                <w:sz w:val="18"/>
                <w:szCs w:val="18"/>
                <w:lang w:val="pl-PL"/>
              </w:rPr>
              <w:t>Opis</w:t>
            </w:r>
          </w:p>
        </w:tc>
      </w:tr>
      <w:tr w:rsidR="00AA0CFD" w:rsidRPr="00C57815" w14:paraId="5897F4BB" w14:textId="77777777" w:rsidTr="00AE05CA">
        <w:tc>
          <w:tcPr>
            <w:tcW w:w="1276" w:type="dxa"/>
            <w:shd w:val="clear" w:color="auto" w:fill="auto"/>
            <w:vAlign w:val="center"/>
          </w:tcPr>
          <w:p w14:paraId="3CB400EB" w14:textId="77777777" w:rsidR="00AA0CFD" w:rsidRPr="00AA0CFD" w:rsidRDefault="00AA0CFD" w:rsidP="00AE05CA">
            <w:pPr>
              <w:spacing w:before="60" w:after="60" w:line="240" w:lineRule="auto"/>
              <w:jc w:val="center"/>
              <w:rPr>
                <w:rFonts w:eastAsia="Calibri"/>
                <w:sz w:val="18"/>
                <w:szCs w:val="18"/>
                <w:lang w:val="pl-PL"/>
              </w:rPr>
            </w:pPr>
            <w:r w:rsidRPr="00AA0CFD">
              <w:rPr>
                <w:rFonts w:eastAsia="Calibri"/>
                <w:sz w:val="18"/>
                <w:szCs w:val="18"/>
                <w:lang w:val="pl-PL"/>
              </w:rPr>
              <w:t>A1</w:t>
            </w:r>
          </w:p>
        </w:tc>
        <w:tc>
          <w:tcPr>
            <w:tcW w:w="2005" w:type="dxa"/>
            <w:shd w:val="clear" w:color="auto" w:fill="auto"/>
            <w:vAlign w:val="center"/>
          </w:tcPr>
          <w:p w14:paraId="60941E2C" w14:textId="77777777" w:rsidR="00AA0CFD" w:rsidRPr="00AA0CFD" w:rsidRDefault="00AA0CFD" w:rsidP="00AE05CA">
            <w:pPr>
              <w:spacing w:before="60" w:after="60" w:line="240" w:lineRule="auto"/>
              <w:jc w:val="center"/>
              <w:rPr>
                <w:rFonts w:eastAsia="Calibri"/>
                <w:sz w:val="18"/>
                <w:szCs w:val="18"/>
                <w:lang w:val="pl-PL"/>
              </w:rPr>
            </w:pPr>
            <w:r w:rsidRPr="00AA0CFD">
              <w:rPr>
                <w:rFonts w:eastAsia="Calibri"/>
                <w:sz w:val="18"/>
                <w:szCs w:val="18"/>
                <w:lang w:val="pl-PL"/>
              </w:rPr>
              <w:t>&lt;30</w:t>
            </w:r>
          </w:p>
        </w:tc>
        <w:tc>
          <w:tcPr>
            <w:tcW w:w="2005" w:type="dxa"/>
            <w:shd w:val="clear" w:color="auto" w:fill="auto"/>
            <w:vAlign w:val="center"/>
          </w:tcPr>
          <w:p w14:paraId="2D565FEB" w14:textId="77777777" w:rsidR="00AA0CFD" w:rsidRPr="00AA0CFD" w:rsidRDefault="00AA0CFD" w:rsidP="00AE05CA">
            <w:pPr>
              <w:spacing w:beforeLines="20" w:before="48" w:afterLines="20" w:after="48" w:line="240" w:lineRule="auto"/>
              <w:jc w:val="center"/>
              <w:rPr>
                <w:rFonts w:eastAsia="Calibri"/>
                <w:sz w:val="18"/>
                <w:szCs w:val="18"/>
                <w:lang w:val="pl-PL"/>
              </w:rPr>
            </w:pPr>
            <w:r w:rsidRPr="00AA0CFD">
              <w:rPr>
                <w:rFonts w:eastAsia="Calibri"/>
                <w:sz w:val="18"/>
                <w:szCs w:val="18"/>
                <w:lang w:val="pl-PL"/>
              </w:rPr>
              <w:t>&lt;30</w:t>
            </w:r>
          </w:p>
        </w:tc>
        <w:tc>
          <w:tcPr>
            <w:tcW w:w="3743" w:type="dxa"/>
            <w:shd w:val="clear" w:color="auto" w:fill="auto"/>
            <w:vAlign w:val="center"/>
          </w:tcPr>
          <w:p w14:paraId="65AA7D5B" w14:textId="77777777" w:rsidR="00AA0CFD" w:rsidRPr="00AA0CFD" w:rsidRDefault="00AE05CA" w:rsidP="00AA0CFD">
            <w:pPr>
              <w:spacing w:beforeLines="20" w:before="48" w:afterLines="20" w:after="48" w:line="240" w:lineRule="auto"/>
              <w:jc w:val="left"/>
              <w:rPr>
                <w:rFonts w:eastAsia="Calibri"/>
                <w:sz w:val="18"/>
                <w:szCs w:val="18"/>
                <w:lang w:val="pl-PL"/>
              </w:rPr>
            </w:pPr>
            <w:r>
              <w:rPr>
                <w:rFonts w:eastAsia="Calibri"/>
                <w:sz w:val="18"/>
                <w:szCs w:val="18"/>
                <w:lang w:val="pl-PL"/>
              </w:rPr>
              <w:t>Prawidłowy lub lekko zwiększony AER/ACR</w:t>
            </w:r>
          </w:p>
        </w:tc>
      </w:tr>
      <w:tr w:rsidR="00AA0CFD" w:rsidRPr="00AA0CFD" w14:paraId="163C726A" w14:textId="77777777" w:rsidTr="00AE05CA">
        <w:tc>
          <w:tcPr>
            <w:tcW w:w="1276" w:type="dxa"/>
            <w:shd w:val="clear" w:color="auto" w:fill="auto"/>
            <w:vAlign w:val="center"/>
          </w:tcPr>
          <w:p w14:paraId="5894A09E" w14:textId="77777777" w:rsidR="00AA0CFD" w:rsidRPr="00AA0CFD" w:rsidRDefault="00AA0CFD" w:rsidP="00AE05CA">
            <w:pPr>
              <w:spacing w:before="60" w:after="60" w:line="240" w:lineRule="auto"/>
              <w:jc w:val="center"/>
              <w:rPr>
                <w:rFonts w:eastAsia="Calibri"/>
                <w:sz w:val="18"/>
                <w:szCs w:val="18"/>
                <w:lang w:val="pl-PL"/>
              </w:rPr>
            </w:pPr>
            <w:r w:rsidRPr="00AA0CFD">
              <w:rPr>
                <w:rFonts w:eastAsia="Calibri"/>
                <w:sz w:val="18"/>
                <w:szCs w:val="18"/>
                <w:lang w:val="pl-PL"/>
              </w:rPr>
              <w:t>A2</w:t>
            </w:r>
          </w:p>
        </w:tc>
        <w:tc>
          <w:tcPr>
            <w:tcW w:w="2005" w:type="dxa"/>
            <w:shd w:val="clear" w:color="auto" w:fill="auto"/>
            <w:vAlign w:val="center"/>
          </w:tcPr>
          <w:p w14:paraId="58E2C2CF" w14:textId="77777777" w:rsidR="00AA0CFD" w:rsidRPr="00AA0CFD" w:rsidRDefault="00AA0CFD" w:rsidP="00AE05CA">
            <w:pPr>
              <w:spacing w:before="60" w:after="60" w:line="240" w:lineRule="auto"/>
              <w:jc w:val="center"/>
              <w:rPr>
                <w:rFonts w:eastAsia="Calibri"/>
                <w:sz w:val="18"/>
                <w:szCs w:val="18"/>
                <w:lang w:val="pl-PL"/>
              </w:rPr>
            </w:pPr>
            <w:r w:rsidRPr="00AA0CFD">
              <w:rPr>
                <w:rFonts w:eastAsia="Calibri"/>
                <w:sz w:val="18"/>
                <w:szCs w:val="18"/>
                <w:lang w:val="pl-PL"/>
              </w:rPr>
              <w:t>30-300</w:t>
            </w:r>
          </w:p>
        </w:tc>
        <w:tc>
          <w:tcPr>
            <w:tcW w:w="2005" w:type="dxa"/>
            <w:shd w:val="clear" w:color="auto" w:fill="auto"/>
            <w:vAlign w:val="center"/>
          </w:tcPr>
          <w:p w14:paraId="0E58713E" w14:textId="77777777" w:rsidR="00AA0CFD" w:rsidRPr="00AA0CFD" w:rsidRDefault="00AA0CFD" w:rsidP="00AE05CA">
            <w:pPr>
              <w:spacing w:beforeLines="20" w:before="48" w:afterLines="20" w:after="48" w:line="240" w:lineRule="auto"/>
              <w:jc w:val="center"/>
              <w:rPr>
                <w:rFonts w:eastAsia="Calibri"/>
                <w:sz w:val="18"/>
                <w:szCs w:val="18"/>
                <w:lang w:val="pl-PL"/>
              </w:rPr>
            </w:pPr>
            <w:r w:rsidRPr="00AA0CFD">
              <w:rPr>
                <w:rFonts w:eastAsia="Calibri"/>
                <w:sz w:val="18"/>
                <w:szCs w:val="18"/>
                <w:lang w:val="pl-PL"/>
              </w:rPr>
              <w:t>30-300</w:t>
            </w:r>
          </w:p>
        </w:tc>
        <w:tc>
          <w:tcPr>
            <w:tcW w:w="3743" w:type="dxa"/>
            <w:shd w:val="clear" w:color="auto" w:fill="auto"/>
            <w:vAlign w:val="center"/>
          </w:tcPr>
          <w:p w14:paraId="71FD1C88" w14:textId="77777777" w:rsidR="00AA0CFD" w:rsidRPr="00AA0CFD" w:rsidRDefault="00AE05CA" w:rsidP="00AA0CFD">
            <w:pPr>
              <w:spacing w:beforeLines="20" w:before="48" w:afterLines="20" w:after="48" w:line="240" w:lineRule="auto"/>
              <w:jc w:val="left"/>
              <w:rPr>
                <w:rFonts w:eastAsia="Calibri"/>
                <w:sz w:val="18"/>
                <w:szCs w:val="18"/>
                <w:lang w:val="pl-PL"/>
              </w:rPr>
            </w:pPr>
            <w:r>
              <w:rPr>
                <w:rFonts w:eastAsia="Calibri"/>
                <w:sz w:val="18"/>
                <w:szCs w:val="18"/>
                <w:lang w:val="pl-PL"/>
              </w:rPr>
              <w:t>Średnio zwiększony AER/ACR</w:t>
            </w:r>
          </w:p>
        </w:tc>
      </w:tr>
      <w:tr w:rsidR="00AA0CFD" w:rsidRPr="00AA0CFD" w14:paraId="1E70BF64" w14:textId="77777777" w:rsidTr="00AE05CA">
        <w:tc>
          <w:tcPr>
            <w:tcW w:w="1276" w:type="dxa"/>
            <w:shd w:val="clear" w:color="auto" w:fill="auto"/>
            <w:vAlign w:val="center"/>
          </w:tcPr>
          <w:p w14:paraId="27FDFA4A" w14:textId="77777777" w:rsidR="00AA0CFD" w:rsidRPr="00AA0CFD" w:rsidRDefault="00AA0CFD" w:rsidP="00AE05CA">
            <w:pPr>
              <w:spacing w:before="60" w:after="60" w:line="240" w:lineRule="auto"/>
              <w:jc w:val="center"/>
              <w:rPr>
                <w:rFonts w:eastAsia="Calibri"/>
                <w:sz w:val="18"/>
                <w:szCs w:val="18"/>
                <w:lang w:val="pl-PL"/>
              </w:rPr>
            </w:pPr>
            <w:r w:rsidRPr="00AA0CFD">
              <w:rPr>
                <w:rFonts w:eastAsia="Calibri"/>
                <w:sz w:val="18"/>
                <w:szCs w:val="18"/>
                <w:lang w:val="pl-PL"/>
              </w:rPr>
              <w:t>A3</w:t>
            </w:r>
          </w:p>
        </w:tc>
        <w:tc>
          <w:tcPr>
            <w:tcW w:w="2005" w:type="dxa"/>
            <w:shd w:val="clear" w:color="auto" w:fill="auto"/>
            <w:vAlign w:val="center"/>
          </w:tcPr>
          <w:p w14:paraId="5577C20C" w14:textId="77777777" w:rsidR="00AA0CFD" w:rsidRPr="00AA0CFD" w:rsidRDefault="00AA0CFD" w:rsidP="00AE05CA">
            <w:pPr>
              <w:spacing w:before="60" w:after="60" w:line="240" w:lineRule="auto"/>
              <w:jc w:val="center"/>
              <w:rPr>
                <w:rFonts w:eastAsia="Calibri"/>
                <w:sz w:val="18"/>
                <w:szCs w:val="18"/>
                <w:lang w:val="pl-PL"/>
              </w:rPr>
            </w:pPr>
            <w:r w:rsidRPr="00AA0CFD">
              <w:rPr>
                <w:rFonts w:eastAsia="Calibri"/>
                <w:sz w:val="18"/>
                <w:szCs w:val="18"/>
                <w:lang w:val="pl-PL"/>
              </w:rPr>
              <w:t>&gt;300</w:t>
            </w:r>
          </w:p>
        </w:tc>
        <w:tc>
          <w:tcPr>
            <w:tcW w:w="2005" w:type="dxa"/>
            <w:shd w:val="clear" w:color="auto" w:fill="auto"/>
            <w:vAlign w:val="center"/>
          </w:tcPr>
          <w:p w14:paraId="6E5C260A" w14:textId="77777777" w:rsidR="00AA0CFD" w:rsidRPr="00AA0CFD" w:rsidRDefault="00AA0CFD" w:rsidP="00AE05CA">
            <w:pPr>
              <w:spacing w:beforeLines="20" w:before="48" w:afterLines="20" w:after="48" w:line="240" w:lineRule="auto"/>
              <w:jc w:val="center"/>
              <w:rPr>
                <w:rFonts w:eastAsia="Calibri"/>
                <w:sz w:val="18"/>
                <w:szCs w:val="18"/>
                <w:lang w:val="pl-PL"/>
              </w:rPr>
            </w:pPr>
            <w:r w:rsidRPr="00AA0CFD">
              <w:rPr>
                <w:rFonts w:eastAsia="Calibri"/>
                <w:sz w:val="18"/>
                <w:szCs w:val="18"/>
                <w:lang w:val="pl-PL"/>
              </w:rPr>
              <w:t>&gt;300</w:t>
            </w:r>
          </w:p>
        </w:tc>
        <w:tc>
          <w:tcPr>
            <w:tcW w:w="3743" w:type="dxa"/>
            <w:shd w:val="clear" w:color="auto" w:fill="auto"/>
            <w:vAlign w:val="center"/>
          </w:tcPr>
          <w:p w14:paraId="602C4C1C" w14:textId="77777777" w:rsidR="00AA0CFD" w:rsidRPr="00AA0CFD" w:rsidRDefault="00AE05CA" w:rsidP="00AA0CFD">
            <w:pPr>
              <w:spacing w:beforeLines="20" w:before="48" w:afterLines="20" w:after="48" w:line="240" w:lineRule="auto"/>
              <w:jc w:val="left"/>
              <w:rPr>
                <w:rFonts w:eastAsia="Calibri"/>
                <w:sz w:val="18"/>
                <w:szCs w:val="18"/>
                <w:lang w:val="pl-PL"/>
              </w:rPr>
            </w:pPr>
            <w:r>
              <w:rPr>
                <w:rFonts w:eastAsia="Calibri"/>
                <w:sz w:val="18"/>
                <w:szCs w:val="18"/>
                <w:lang w:val="pl-PL"/>
              </w:rPr>
              <w:t xml:space="preserve">Wyraźnie </w:t>
            </w:r>
            <w:r w:rsidR="00881346">
              <w:rPr>
                <w:rFonts w:eastAsia="Calibri"/>
                <w:sz w:val="18"/>
                <w:szCs w:val="18"/>
                <w:lang w:val="pl-PL"/>
              </w:rPr>
              <w:t>zwiększony</w:t>
            </w:r>
          </w:p>
        </w:tc>
      </w:tr>
    </w:tbl>
    <w:p w14:paraId="666B2469" w14:textId="77777777" w:rsidR="00AA0CFD" w:rsidRDefault="00477B20" w:rsidP="00AA0CFD">
      <w:pPr>
        <w:rPr>
          <w:sz w:val="18"/>
        </w:rPr>
      </w:pPr>
      <w:proofErr w:type="spellStart"/>
      <w:r>
        <w:rPr>
          <w:rFonts w:eastAsia="Calibri"/>
          <w:sz w:val="18"/>
        </w:rPr>
        <w:t>Źródło</w:t>
      </w:r>
      <w:proofErr w:type="spellEnd"/>
      <w:r>
        <w:rPr>
          <w:rFonts w:eastAsia="Calibri"/>
          <w:sz w:val="18"/>
        </w:rPr>
        <w:t xml:space="preserve">: </w:t>
      </w:r>
      <w:r w:rsidR="00AA0CFD" w:rsidRPr="00A875F2">
        <w:rPr>
          <w:sz w:val="18"/>
        </w:rPr>
        <w:t>KDIGO 2012 Clinical Practic</w:t>
      </w:r>
      <w:r w:rsidR="00AA0CFD" w:rsidRPr="00BE6340">
        <w:rPr>
          <w:sz w:val="18"/>
        </w:rPr>
        <w:t>e Guideline for the Evaluation and Management of Chronic Kidney Disease, Official Journal of the International Society of Nephrology, 2013</w:t>
      </w:r>
      <w:r w:rsidR="00AA0CFD">
        <w:rPr>
          <w:sz w:val="18"/>
        </w:rPr>
        <w:t>, s. 5</w:t>
      </w:r>
    </w:p>
    <w:p w14:paraId="3760BC1E" w14:textId="77777777" w:rsidR="00C91DBC" w:rsidRPr="00060165" w:rsidRDefault="00C91DBC" w:rsidP="00C91DBC">
      <w:pPr>
        <w:rPr>
          <w:sz w:val="18"/>
          <w:lang w:val="pl-PL"/>
        </w:rPr>
      </w:pPr>
      <w:r w:rsidRPr="00C91DBC">
        <w:rPr>
          <w:sz w:val="18"/>
          <w:lang w:val="pl-PL"/>
        </w:rPr>
        <w:t>*</w:t>
      </w:r>
      <w:r>
        <w:rPr>
          <w:sz w:val="18"/>
          <w:lang w:val="pl-PL"/>
        </w:rPr>
        <w:t xml:space="preserve"> </w:t>
      </w:r>
      <w:r w:rsidRPr="00C91DBC">
        <w:rPr>
          <w:sz w:val="18"/>
          <w:lang w:val="pl-PL"/>
        </w:rPr>
        <w:t>w praktyce w Polsce często stosowanym wskaźnikiem do obliczania albuminurii jest PCR (wskaźnik białko / kreatynina)</w:t>
      </w:r>
    </w:p>
    <w:p w14:paraId="151D9AED" w14:textId="0AE48E99" w:rsidR="00A875F2" w:rsidRDefault="007F6F81" w:rsidP="00AA0CFD">
      <w:pPr>
        <w:rPr>
          <w:szCs w:val="24"/>
          <w:lang w:val="pl-PL"/>
        </w:rPr>
      </w:pPr>
      <w:r>
        <w:rPr>
          <w:szCs w:val="24"/>
          <w:lang w:val="pl-PL"/>
        </w:rPr>
        <w:t>W praktyce, k</w:t>
      </w:r>
      <w:r w:rsidR="00A875F2" w:rsidRPr="00A875F2">
        <w:rPr>
          <w:szCs w:val="24"/>
          <w:lang w:val="pl-PL"/>
        </w:rPr>
        <w:t>ażd</w:t>
      </w:r>
      <w:r w:rsidR="00A875F2">
        <w:rPr>
          <w:szCs w:val="24"/>
          <w:lang w:val="pl-PL"/>
        </w:rPr>
        <w:t xml:space="preserve">a osoba jest obciążona ryzykiem zachorowania na </w:t>
      </w:r>
      <w:proofErr w:type="spellStart"/>
      <w:r w:rsidR="00A875F2">
        <w:rPr>
          <w:szCs w:val="24"/>
          <w:lang w:val="pl-PL"/>
        </w:rPr>
        <w:t>PChN</w:t>
      </w:r>
      <w:proofErr w:type="spellEnd"/>
      <w:r w:rsidR="00A875F2">
        <w:rPr>
          <w:szCs w:val="24"/>
          <w:lang w:val="pl-PL"/>
        </w:rPr>
        <w:t xml:space="preserve">, natomiast prawdopodobieństwo realizacji tego ryzyka jest związane z przynależnością do grupy będącej kombinacją </w:t>
      </w:r>
      <w:r w:rsidR="00A875F2" w:rsidRPr="00A875F2">
        <w:rPr>
          <w:szCs w:val="24"/>
          <w:lang w:val="pl-PL"/>
        </w:rPr>
        <w:t>kategorii G i</w:t>
      </w:r>
      <w:r w:rsidR="00A875F2">
        <w:rPr>
          <w:szCs w:val="24"/>
          <w:lang w:val="pl-PL"/>
        </w:rPr>
        <w:t xml:space="preserve"> A</w:t>
      </w:r>
      <w:r w:rsidR="00182ABD">
        <w:rPr>
          <w:szCs w:val="24"/>
          <w:lang w:val="pl-PL"/>
        </w:rPr>
        <w:t>. Matrycę</w:t>
      </w:r>
      <w:r w:rsidR="00A875F2">
        <w:rPr>
          <w:szCs w:val="24"/>
          <w:lang w:val="pl-PL"/>
        </w:rPr>
        <w:t xml:space="preserve"> </w:t>
      </w:r>
      <w:r w:rsidR="00182ABD">
        <w:rPr>
          <w:szCs w:val="24"/>
          <w:lang w:val="pl-PL"/>
        </w:rPr>
        <w:t xml:space="preserve">prognozującą ryzyko zachorowania na </w:t>
      </w:r>
      <w:proofErr w:type="spellStart"/>
      <w:r w:rsidR="00182ABD">
        <w:rPr>
          <w:szCs w:val="24"/>
          <w:lang w:val="pl-PL"/>
        </w:rPr>
        <w:t>PChN</w:t>
      </w:r>
      <w:proofErr w:type="spellEnd"/>
      <w:r w:rsidR="00182ABD">
        <w:rPr>
          <w:szCs w:val="24"/>
          <w:lang w:val="pl-PL"/>
        </w:rPr>
        <w:t xml:space="preserve"> według przynależności do kategorii G i A przedstawiono w tabeli </w:t>
      </w:r>
      <w:r w:rsidR="00AB3698">
        <w:rPr>
          <w:szCs w:val="24"/>
          <w:lang w:val="pl-PL"/>
        </w:rPr>
        <w:t>4</w:t>
      </w:r>
      <w:r w:rsidR="00182ABD">
        <w:rPr>
          <w:szCs w:val="24"/>
          <w:lang w:val="pl-PL"/>
        </w:rPr>
        <w:t>.</w:t>
      </w:r>
    </w:p>
    <w:p w14:paraId="2BCD2946" w14:textId="7D3F4B5C" w:rsidR="007B1162" w:rsidRPr="00D720F3" w:rsidRDefault="007B1162" w:rsidP="007B1162">
      <w:pPr>
        <w:pStyle w:val="Legenda"/>
        <w:keepNext/>
        <w:rPr>
          <w:b/>
          <w:i w:val="0"/>
          <w:color w:val="auto"/>
          <w:lang w:val="pl-PL"/>
        </w:rPr>
      </w:pPr>
      <w:bookmarkStart w:id="42" w:name="_Toc486537967"/>
      <w:r w:rsidRPr="00D720F3">
        <w:rPr>
          <w:b/>
          <w:i w:val="0"/>
          <w:color w:val="auto"/>
          <w:lang w:val="pl-PL"/>
        </w:rPr>
        <w:t xml:space="preserve">Tabela </w:t>
      </w:r>
      <w:r w:rsidRPr="007B1162">
        <w:rPr>
          <w:b/>
          <w:i w:val="0"/>
          <w:color w:val="auto"/>
        </w:rPr>
        <w:fldChar w:fldCharType="begin"/>
      </w:r>
      <w:r w:rsidRPr="00D720F3">
        <w:rPr>
          <w:b/>
          <w:i w:val="0"/>
          <w:color w:val="auto"/>
          <w:lang w:val="pl-PL"/>
        </w:rPr>
        <w:instrText xml:space="preserve"> SEQ Tabela \* ARABIC </w:instrText>
      </w:r>
      <w:r w:rsidRPr="007B1162">
        <w:rPr>
          <w:b/>
          <w:i w:val="0"/>
          <w:color w:val="auto"/>
        </w:rPr>
        <w:fldChar w:fldCharType="separate"/>
      </w:r>
      <w:r w:rsidR="005C7285">
        <w:rPr>
          <w:b/>
          <w:i w:val="0"/>
          <w:noProof/>
          <w:color w:val="auto"/>
          <w:lang w:val="pl-PL"/>
        </w:rPr>
        <w:t>4</w:t>
      </w:r>
      <w:r w:rsidRPr="007B1162">
        <w:rPr>
          <w:b/>
          <w:i w:val="0"/>
          <w:color w:val="auto"/>
        </w:rPr>
        <w:fldChar w:fldCharType="end"/>
      </w:r>
      <w:r w:rsidR="00D720F3" w:rsidRPr="00D720F3">
        <w:rPr>
          <w:b/>
          <w:i w:val="0"/>
          <w:color w:val="auto"/>
          <w:lang w:val="pl-PL"/>
        </w:rPr>
        <w:t xml:space="preserve"> Ryzyko zachorowania na </w:t>
      </w:r>
      <w:proofErr w:type="spellStart"/>
      <w:r w:rsidR="00D720F3" w:rsidRPr="00D720F3">
        <w:rPr>
          <w:b/>
          <w:i w:val="0"/>
          <w:color w:val="auto"/>
          <w:lang w:val="pl-PL"/>
        </w:rPr>
        <w:t>PChN</w:t>
      </w:r>
      <w:proofErr w:type="spellEnd"/>
      <w:r w:rsidR="00D720F3" w:rsidRPr="00D720F3">
        <w:rPr>
          <w:b/>
          <w:i w:val="0"/>
          <w:color w:val="auto"/>
          <w:lang w:val="pl-PL"/>
        </w:rPr>
        <w:t xml:space="preserve"> w zależności od przynależności do kategorii G i A</w:t>
      </w:r>
      <w:r w:rsidR="00930473">
        <w:rPr>
          <w:b/>
          <w:i w:val="0"/>
          <w:color w:val="auto"/>
          <w:lang w:val="pl-PL"/>
        </w:rPr>
        <w:t xml:space="preserve"> wg KDIGO 2012</w:t>
      </w:r>
      <w:bookmarkEnd w:id="42"/>
    </w:p>
    <w:tbl>
      <w:tblPr>
        <w:tblStyle w:val="Tabela-Siatka"/>
        <w:tblW w:w="9031" w:type="dxa"/>
        <w:tblBorders>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18"/>
        <w:gridCol w:w="1843"/>
        <w:gridCol w:w="1984"/>
        <w:gridCol w:w="1845"/>
        <w:gridCol w:w="1941"/>
      </w:tblGrid>
      <w:tr w:rsidR="00182ABD" w:rsidRPr="00182ABD" w14:paraId="14A1A2BD" w14:textId="77777777" w:rsidTr="007B1162">
        <w:tc>
          <w:tcPr>
            <w:tcW w:w="3261" w:type="dxa"/>
            <w:gridSpan w:val="2"/>
            <w:vMerge w:val="restart"/>
            <w:shd w:val="clear" w:color="auto" w:fill="auto"/>
            <w:vAlign w:val="center"/>
          </w:tcPr>
          <w:p w14:paraId="78B53E97" w14:textId="77777777" w:rsidR="00182ABD" w:rsidRPr="00A821E4" w:rsidRDefault="00182ABD" w:rsidP="00182ABD">
            <w:pPr>
              <w:spacing w:before="60" w:after="60" w:line="240" w:lineRule="auto"/>
              <w:jc w:val="left"/>
              <w:rPr>
                <w:rFonts w:eastAsia="Calibri"/>
                <w:b/>
                <w:sz w:val="18"/>
                <w:szCs w:val="18"/>
                <w:lang w:val="pl-PL"/>
              </w:rPr>
            </w:pPr>
          </w:p>
        </w:tc>
        <w:tc>
          <w:tcPr>
            <w:tcW w:w="5770" w:type="dxa"/>
            <w:gridSpan w:val="3"/>
            <w:shd w:val="clear" w:color="auto" w:fill="FFE600"/>
            <w:vAlign w:val="center"/>
          </w:tcPr>
          <w:p w14:paraId="5C2F10BA" w14:textId="77777777" w:rsidR="00182ABD" w:rsidRPr="00A821E4" w:rsidRDefault="00182ABD" w:rsidP="007B1162">
            <w:pPr>
              <w:spacing w:beforeLines="20" w:before="48" w:afterLines="20" w:after="48" w:line="240" w:lineRule="auto"/>
              <w:jc w:val="center"/>
              <w:rPr>
                <w:b/>
                <w:sz w:val="18"/>
                <w:szCs w:val="18"/>
                <w:lang w:val="pl-PL"/>
              </w:rPr>
            </w:pPr>
            <w:r w:rsidRPr="008C32D8">
              <w:rPr>
                <w:b/>
                <w:sz w:val="18"/>
                <w:szCs w:val="18"/>
                <w:lang w:val="pl-PL"/>
              </w:rPr>
              <w:t>Kategorie albuminurii</w:t>
            </w:r>
          </w:p>
        </w:tc>
      </w:tr>
      <w:tr w:rsidR="00182ABD" w:rsidRPr="0002448D" w14:paraId="3D395D68" w14:textId="77777777" w:rsidTr="007B1162">
        <w:tc>
          <w:tcPr>
            <w:tcW w:w="3261" w:type="dxa"/>
            <w:gridSpan w:val="2"/>
            <w:vMerge/>
            <w:shd w:val="clear" w:color="auto" w:fill="auto"/>
            <w:vAlign w:val="center"/>
          </w:tcPr>
          <w:p w14:paraId="17ECE71B" w14:textId="77777777" w:rsidR="00182ABD" w:rsidRDefault="00182ABD" w:rsidP="00182ABD">
            <w:pPr>
              <w:spacing w:before="60" w:after="60" w:line="240" w:lineRule="auto"/>
              <w:jc w:val="center"/>
              <w:rPr>
                <w:rFonts w:eastAsia="Calibri"/>
                <w:sz w:val="18"/>
                <w:szCs w:val="18"/>
                <w:lang w:val="pl-PL"/>
              </w:rPr>
            </w:pPr>
          </w:p>
        </w:tc>
        <w:tc>
          <w:tcPr>
            <w:tcW w:w="1984" w:type="dxa"/>
            <w:tcBorders>
              <w:bottom w:val="single" w:sz="4" w:space="0" w:color="808080" w:themeColor="background1" w:themeShade="80"/>
            </w:tcBorders>
            <w:shd w:val="clear" w:color="auto" w:fill="auto"/>
            <w:vAlign w:val="center"/>
          </w:tcPr>
          <w:p w14:paraId="766AC45B" w14:textId="77777777" w:rsidR="00182ABD" w:rsidRPr="00930473" w:rsidRDefault="00182ABD" w:rsidP="00182ABD">
            <w:pPr>
              <w:spacing w:beforeLines="20" w:before="48" w:afterLines="20" w:after="48" w:line="240" w:lineRule="auto"/>
              <w:jc w:val="center"/>
              <w:rPr>
                <w:b/>
                <w:sz w:val="18"/>
                <w:szCs w:val="18"/>
                <w:lang w:val="pl-PL"/>
              </w:rPr>
            </w:pPr>
            <w:r w:rsidRPr="00930473">
              <w:rPr>
                <w:b/>
                <w:sz w:val="18"/>
                <w:szCs w:val="18"/>
                <w:lang w:val="pl-PL"/>
              </w:rPr>
              <w:t>A1</w:t>
            </w:r>
          </w:p>
        </w:tc>
        <w:tc>
          <w:tcPr>
            <w:tcW w:w="1845" w:type="dxa"/>
            <w:tcBorders>
              <w:bottom w:val="single" w:sz="4" w:space="0" w:color="808080" w:themeColor="background1" w:themeShade="80"/>
            </w:tcBorders>
            <w:shd w:val="clear" w:color="auto" w:fill="auto"/>
            <w:vAlign w:val="center"/>
          </w:tcPr>
          <w:p w14:paraId="78FBD72F" w14:textId="77777777" w:rsidR="00182ABD" w:rsidRPr="00930473" w:rsidRDefault="00182ABD" w:rsidP="00182ABD">
            <w:pPr>
              <w:spacing w:beforeLines="20" w:before="48" w:afterLines="20" w:after="48" w:line="240" w:lineRule="auto"/>
              <w:jc w:val="center"/>
              <w:rPr>
                <w:b/>
                <w:sz w:val="18"/>
                <w:szCs w:val="18"/>
                <w:lang w:val="pl-PL"/>
              </w:rPr>
            </w:pPr>
            <w:r w:rsidRPr="00930473">
              <w:rPr>
                <w:b/>
                <w:sz w:val="18"/>
                <w:szCs w:val="18"/>
                <w:lang w:val="pl-PL"/>
              </w:rPr>
              <w:t>A2</w:t>
            </w:r>
          </w:p>
        </w:tc>
        <w:tc>
          <w:tcPr>
            <w:tcW w:w="1941" w:type="dxa"/>
            <w:tcBorders>
              <w:bottom w:val="single" w:sz="4" w:space="0" w:color="808080" w:themeColor="background1" w:themeShade="80"/>
            </w:tcBorders>
            <w:shd w:val="clear" w:color="auto" w:fill="auto"/>
            <w:vAlign w:val="center"/>
          </w:tcPr>
          <w:p w14:paraId="707B174A" w14:textId="77777777" w:rsidR="00182ABD" w:rsidRPr="00930473" w:rsidRDefault="00182ABD" w:rsidP="00182ABD">
            <w:pPr>
              <w:spacing w:beforeLines="20" w:before="48" w:afterLines="20" w:after="48" w:line="240" w:lineRule="auto"/>
              <w:jc w:val="center"/>
              <w:rPr>
                <w:b/>
                <w:sz w:val="18"/>
                <w:szCs w:val="18"/>
                <w:lang w:val="pl-PL"/>
              </w:rPr>
            </w:pPr>
            <w:r w:rsidRPr="00930473">
              <w:rPr>
                <w:b/>
                <w:sz w:val="18"/>
                <w:szCs w:val="18"/>
                <w:lang w:val="pl-PL"/>
              </w:rPr>
              <w:t>A3</w:t>
            </w:r>
          </w:p>
        </w:tc>
      </w:tr>
      <w:tr w:rsidR="00182ABD" w:rsidRPr="0002448D" w14:paraId="24DC8E90" w14:textId="77777777" w:rsidTr="00930473">
        <w:tc>
          <w:tcPr>
            <w:tcW w:w="1418" w:type="dxa"/>
            <w:vMerge w:val="restart"/>
            <w:shd w:val="clear" w:color="auto" w:fill="FFE600"/>
            <w:vAlign w:val="center"/>
          </w:tcPr>
          <w:p w14:paraId="5CC12B6E" w14:textId="77777777" w:rsidR="00182ABD" w:rsidRPr="00182ABD" w:rsidRDefault="00182ABD" w:rsidP="00182ABD">
            <w:pPr>
              <w:spacing w:before="60" w:after="60" w:line="240" w:lineRule="auto"/>
              <w:jc w:val="center"/>
              <w:rPr>
                <w:rFonts w:eastAsia="Calibri"/>
                <w:b/>
                <w:sz w:val="18"/>
                <w:szCs w:val="18"/>
                <w:lang w:val="pl-PL"/>
              </w:rPr>
            </w:pPr>
            <w:r w:rsidRPr="008C32D8">
              <w:rPr>
                <w:rFonts w:eastAsia="Calibri"/>
                <w:b/>
                <w:sz w:val="18"/>
                <w:szCs w:val="18"/>
                <w:lang w:val="pl-PL"/>
              </w:rPr>
              <w:t>Kategorie GFR</w:t>
            </w:r>
          </w:p>
        </w:tc>
        <w:tc>
          <w:tcPr>
            <w:tcW w:w="1843" w:type="dxa"/>
            <w:tcBorders>
              <w:right w:val="single" w:sz="4" w:space="0" w:color="808080" w:themeColor="background1" w:themeShade="80"/>
            </w:tcBorders>
            <w:shd w:val="clear" w:color="auto" w:fill="auto"/>
            <w:vAlign w:val="center"/>
          </w:tcPr>
          <w:p w14:paraId="79AC1431" w14:textId="77777777" w:rsidR="00182ABD" w:rsidRPr="00930473" w:rsidRDefault="00182ABD" w:rsidP="00182ABD">
            <w:pPr>
              <w:spacing w:before="60" w:after="60" w:line="240" w:lineRule="auto"/>
              <w:jc w:val="center"/>
              <w:rPr>
                <w:rFonts w:eastAsia="Calibri"/>
                <w:b/>
                <w:sz w:val="18"/>
                <w:szCs w:val="18"/>
                <w:lang w:val="pl-PL"/>
              </w:rPr>
            </w:pPr>
            <w:r w:rsidRPr="00930473">
              <w:rPr>
                <w:rFonts w:eastAsia="Calibri"/>
                <w:b/>
                <w:sz w:val="18"/>
                <w:szCs w:val="18"/>
                <w:lang w:val="pl-PL"/>
              </w:rPr>
              <w:t>G1</w:t>
            </w:r>
          </w:p>
        </w:tc>
        <w:tc>
          <w:tcPr>
            <w:tcW w:w="1984" w:type="dxa"/>
            <w:tcBorders>
              <w:top w:val="single" w:sz="4" w:space="0" w:color="808080" w:themeColor="background1" w:themeShade="80"/>
              <w:left w:val="single" w:sz="4" w:space="0" w:color="808080" w:themeColor="background1" w:themeShade="80"/>
              <w:bottom w:val="nil"/>
              <w:right w:val="nil"/>
            </w:tcBorders>
            <w:shd w:val="clear" w:color="auto" w:fill="auto"/>
            <w:vAlign w:val="center"/>
          </w:tcPr>
          <w:p w14:paraId="598F97F5" w14:textId="77777777" w:rsidR="00182ABD" w:rsidRPr="007B1162" w:rsidRDefault="00182ABD" w:rsidP="00182ABD">
            <w:pPr>
              <w:spacing w:beforeLines="20" w:before="48" w:afterLines="20" w:after="48" w:line="240" w:lineRule="auto"/>
              <w:jc w:val="left"/>
              <w:rPr>
                <w:sz w:val="18"/>
                <w:szCs w:val="18"/>
                <w:lang w:val="pl-PL"/>
              </w:rPr>
            </w:pPr>
          </w:p>
        </w:tc>
        <w:tc>
          <w:tcPr>
            <w:tcW w:w="1845" w:type="dxa"/>
            <w:tcBorders>
              <w:top w:val="single" w:sz="4" w:space="0" w:color="808080" w:themeColor="background1" w:themeShade="80"/>
              <w:left w:val="nil"/>
              <w:bottom w:val="nil"/>
              <w:right w:val="nil"/>
            </w:tcBorders>
            <w:shd w:val="clear" w:color="auto" w:fill="F2F2F2" w:themeFill="background1" w:themeFillShade="F2"/>
            <w:vAlign w:val="center"/>
          </w:tcPr>
          <w:p w14:paraId="74C56B17" w14:textId="77777777" w:rsidR="00182ABD" w:rsidRPr="007B1162" w:rsidRDefault="00182ABD" w:rsidP="00182ABD">
            <w:pPr>
              <w:spacing w:beforeLines="20" w:before="48" w:afterLines="20" w:after="48" w:line="240" w:lineRule="auto"/>
              <w:jc w:val="left"/>
              <w:rPr>
                <w:sz w:val="18"/>
                <w:szCs w:val="18"/>
                <w:lang w:val="pl-PL"/>
              </w:rPr>
            </w:pPr>
          </w:p>
        </w:tc>
        <w:tc>
          <w:tcPr>
            <w:tcW w:w="1941" w:type="dxa"/>
            <w:tcBorders>
              <w:top w:val="single" w:sz="4" w:space="0" w:color="808080" w:themeColor="background1" w:themeShade="80"/>
              <w:left w:val="nil"/>
              <w:bottom w:val="nil"/>
              <w:right w:val="nil"/>
            </w:tcBorders>
            <w:shd w:val="clear" w:color="auto" w:fill="BFBFBF" w:themeFill="background1" w:themeFillShade="BF"/>
            <w:vAlign w:val="center"/>
          </w:tcPr>
          <w:p w14:paraId="54AA506F" w14:textId="77777777" w:rsidR="00182ABD" w:rsidRPr="007B1162" w:rsidRDefault="00182ABD" w:rsidP="00182ABD">
            <w:pPr>
              <w:spacing w:beforeLines="20" w:before="48" w:afterLines="20" w:after="48" w:line="240" w:lineRule="auto"/>
              <w:jc w:val="left"/>
              <w:rPr>
                <w:sz w:val="18"/>
                <w:szCs w:val="18"/>
                <w:lang w:val="pl-PL"/>
              </w:rPr>
            </w:pPr>
          </w:p>
        </w:tc>
      </w:tr>
      <w:tr w:rsidR="00182ABD" w:rsidRPr="0002448D" w14:paraId="23A8DD4B" w14:textId="77777777" w:rsidTr="00930473">
        <w:tc>
          <w:tcPr>
            <w:tcW w:w="1418" w:type="dxa"/>
            <w:vMerge/>
            <w:shd w:val="clear" w:color="auto" w:fill="FFE600"/>
            <w:vAlign w:val="center"/>
          </w:tcPr>
          <w:p w14:paraId="3C55F4CB" w14:textId="77777777" w:rsidR="00182ABD" w:rsidRPr="0002448D" w:rsidRDefault="00182ABD" w:rsidP="00182ABD">
            <w:pPr>
              <w:spacing w:before="60" w:after="60" w:line="240" w:lineRule="auto"/>
              <w:jc w:val="center"/>
              <w:rPr>
                <w:rFonts w:eastAsia="Calibri"/>
                <w:sz w:val="18"/>
                <w:szCs w:val="18"/>
                <w:lang w:val="pl-PL"/>
              </w:rPr>
            </w:pPr>
          </w:p>
        </w:tc>
        <w:tc>
          <w:tcPr>
            <w:tcW w:w="1843" w:type="dxa"/>
            <w:tcBorders>
              <w:right w:val="single" w:sz="4" w:space="0" w:color="808080" w:themeColor="background1" w:themeShade="80"/>
            </w:tcBorders>
            <w:shd w:val="clear" w:color="auto" w:fill="auto"/>
            <w:vAlign w:val="center"/>
          </w:tcPr>
          <w:p w14:paraId="489CD85A" w14:textId="77777777" w:rsidR="00182ABD" w:rsidRPr="00930473" w:rsidRDefault="00182ABD" w:rsidP="00182ABD">
            <w:pPr>
              <w:spacing w:before="60" w:after="60" w:line="240" w:lineRule="auto"/>
              <w:jc w:val="center"/>
              <w:rPr>
                <w:rFonts w:eastAsia="Calibri"/>
                <w:b/>
                <w:sz w:val="18"/>
                <w:szCs w:val="18"/>
                <w:lang w:val="pl-PL"/>
              </w:rPr>
            </w:pPr>
            <w:r w:rsidRPr="00930473">
              <w:rPr>
                <w:rFonts w:eastAsia="Calibri"/>
                <w:b/>
                <w:sz w:val="18"/>
                <w:szCs w:val="18"/>
                <w:lang w:val="pl-PL"/>
              </w:rPr>
              <w:t>G2</w:t>
            </w:r>
          </w:p>
        </w:tc>
        <w:tc>
          <w:tcPr>
            <w:tcW w:w="1984" w:type="dxa"/>
            <w:tcBorders>
              <w:top w:val="nil"/>
              <w:left w:val="single" w:sz="4" w:space="0" w:color="808080" w:themeColor="background1" w:themeShade="80"/>
              <w:bottom w:val="nil"/>
              <w:right w:val="nil"/>
            </w:tcBorders>
            <w:shd w:val="clear" w:color="auto" w:fill="auto"/>
            <w:vAlign w:val="center"/>
          </w:tcPr>
          <w:p w14:paraId="4424CEE9" w14:textId="77777777" w:rsidR="00182ABD" w:rsidRPr="007B1162" w:rsidRDefault="00182ABD" w:rsidP="00182ABD">
            <w:pPr>
              <w:spacing w:beforeLines="20" w:before="48" w:afterLines="20" w:after="48" w:line="240" w:lineRule="auto"/>
              <w:jc w:val="left"/>
              <w:rPr>
                <w:sz w:val="18"/>
                <w:szCs w:val="18"/>
                <w:lang w:val="pl-PL"/>
              </w:rPr>
            </w:pPr>
          </w:p>
        </w:tc>
        <w:tc>
          <w:tcPr>
            <w:tcW w:w="1845" w:type="dxa"/>
            <w:tcBorders>
              <w:top w:val="nil"/>
              <w:left w:val="nil"/>
              <w:bottom w:val="nil"/>
              <w:right w:val="nil"/>
            </w:tcBorders>
            <w:shd w:val="clear" w:color="auto" w:fill="F2F2F2" w:themeFill="background1" w:themeFillShade="F2"/>
            <w:vAlign w:val="center"/>
          </w:tcPr>
          <w:p w14:paraId="53228ECB" w14:textId="77777777" w:rsidR="00182ABD" w:rsidRPr="007B1162" w:rsidRDefault="00182ABD" w:rsidP="00182ABD">
            <w:pPr>
              <w:spacing w:beforeLines="20" w:before="48" w:afterLines="20" w:after="48" w:line="240" w:lineRule="auto"/>
              <w:jc w:val="left"/>
              <w:rPr>
                <w:sz w:val="18"/>
                <w:szCs w:val="18"/>
                <w:lang w:val="pl-PL"/>
              </w:rPr>
            </w:pPr>
          </w:p>
        </w:tc>
        <w:tc>
          <w:tcPr>
            <w:tcW w:w="1941" w:type="dxa"/>
            <w:tcBorders>
              <w:top w:val="nil"/>
              <w:left w:val="nil"/>
              <w:bottom w:val="nil"/>
              <w:right w:val="nil"/>
            </w:tcBorders>
            <w:shd w:val="clear" w:color="auto" w:fill="BFBFBF" w:themeFill="background1" w:themeFillShade="BF"/>
            <w:vAlign w:val="center"/>
          </w:tcPr>
          <w:p w14:paraId="6FCCECE4" w14:textId="77777777" w:rsidR="00182ABD" w:rsidRPr="007B1162" w:rsidRDefault="00182ABD" w:rsidP="00182ABD">
            <w:pPr>
              <w:spacing w:beforeLines="20" w:before="48" w:afterLines="20" w:after="48" w:line="240" w:lineRule="auto"/>
              <w:jc w:val="left"/>
              <w:rPr>
                <w:sz w:val="18"/>
                <w:szCs w:val="18"/>
                <w:lang w:val="pl-PL"/>
              </w:rPr>
            </w:pPr>
          </w:p>
        </w:tc>
      </w:tr>
      <w:tr w:rsidR="00182ABD" w:rsidRPr="00AB565D" w14:paraId="120CC6EF" w14:textId="77777777" w:rsidTr="00930473">
        <w:tc>
          <w:tcPr>
            <w:tcW w:w="1418" w:type="dxa"/>
            <w:vMerge/>
            <w:shd w:val="clear" w:color="auto" w:fill="FFE600"/>
            <w:vAlign w:val="center"/>
          </w:tcPr>
          <w:p w14:paraId="203E4078" w14:textId="77777777" w:rsidR="00182ABD" w:rsidRPr="0002448D" w:rsidRDefault="00182ABD" w:rsidP="00182ABD">
            <w:pPr>
              <w:spacing w:before="60" w:after="60" w:line="240" w:lineRule="auto"/>
              <w:jc w:val="center"/>
              <w:rPr>
                <w:rFonts w:eastAsia="Calibri"/>
                <w:sz w:val="18"/>
                <w:szCs w:val="18"/>
                <w:lang w:val="pl-PL"/>
              </w:rPr>
            </w:pPr>
          </w:p>
        </w:tc>
        <w:tc>
          <w:tcPr>
            <w:tcW w:w="1843" w:type="dxa"/>
            <w:tcBorders>
              <w:right w:val="single" w:sz="4" w:space="0" w:color="808080" w:themeColor="background1" w:themeShade="80"/>
            </w:tcBorders>
            <w:shd w:val="clear" w:color="auto" w:fill="auto"/>
            <w:vAlign w:val="center"/>
          </w:tcPr>
          <w:p w14:paraId="0F3BF43E" w14:textId="77777777" w:rsidR="00182ABD" w:rsidRPr="00930473" w:rsidRDefault="00182ABD" w:rsidP="00182ABD">
            <w:pPr>
              <w:spacing w:before="60" w:after="60" w:line="240" w:lineRule="auto"/>
              <w:jc w:val="center"/>
              <w:rPr>
                <w:rFonts w:eastAsia="Calibri"/>
                <w:b/>
                <w:sz w:val="18"/>
                <w:szCs w:val="18"/>
                <w:lang w:val="pl-PL"/>
              </w:rPr>
            </w:pPr>
            <w:r w:rsidRPr="00930473">
              <w:rPr>
                <w:rFonts w:eastAsia="Calibri"/>
                <w:b/>
                <w:sz w:val="18"/>
                <w:szCs w:val="18"/>
                <w:lang w:val="pl-PL"/>
              </w:rPr>
              <w:t>G3a</w:t>
            </w:r>
          </w:p>
        </w:tc>
        <w:tc>
          <w:tcPr>
            <w:tcW w:w="1984" w:type="dxa"/>
            <w:tcBorders>
              <w:top w:val="nil"/>
              <w:left w:val="single" w:sz="4" w:space="0" w:color="808080" w:themeColor="background1" w:themeShade="80"/>
              <w:bottom w:val="nil"/>
              <w:right w:val="nil"/>
            </w:tcBorders>
            <w:shd w:val="clear" w:color="auto" w:fill="F2F2F2" w:themeFill="background1" w:themeFillShade="F2"/>
            <w:vAlign w:val="center"/>
          </w:tcPr>
          <w:p w14:paraId="0A15AE4B" w14:textId="77777777" w:rsidR="00182ABD" w:rsidRPr="007B1162" w:rsidRDefault="00182ABD" w:rsidP="00182ABD">
            <w:pPr>
              <w:spacing w:beforeLines="20" w:before="48" w:afterLines="20" w:after="48" w:line="240" w:lineRule="auto"/>
              <w:jc w:val="left"/>
              <w:rPr>
                <w:sz w:val="18"/>
                <w:szCs w:val="18"/>
                <w:lang w:val="pl-PL"/>
              </w:rPr>
            </w:pPr>
          </w:p>
        </w:tc>
        <w:tc>
          <w:tcPr>
            <w:tcW w:w="1845" w:type="dxa"/>
            <w:tcBorders>
              <w:top w:val="nil"/>
              <w:left w:val="nil"/>
              <w:bottom w:val="nil"/>
              <w:right w:val="nil"/>
            </w:tcBorders>
            <w:shd w:val="clear" w:color="auto" w:fill="BFBFBF" w:themeFill="background1" w:themeFillShade="BF"/>
            <w:vAlign w:val="center"/>
          </w:tcPr>
          <w:p w14:paraId="7CCC1676" w14:textId="77777777" w:rsidR="00182ABD" w:rsidRPr="007B1162" w:rsidRDefault="00182ABD" w:rsidP="00182ABD">
            <w:pPr>
              <w:spacing w:beforeLines="20" w:before="48" w:afterLines="20" w:after="48" w:line="240" w:lineRule="auto"/>
              <w:jc w:val="left"/>
              <w:rPr>
                <w:sz w:val="18"/>
                <w:szCs w:val="18"/>
                <w:lang w:val="pl-PL"/>
              </w:rPr>
            </w:pPr>
          </w:p>
        </w:tc>
        <w:tc>
          <w:tcPr>
            <w:tcW w:w="1941" w:type="dxa"/>
            <w:tcBorders>
              <w:top w:val="nil"/>
              <w:left w:val="nil"/>
              <w:bottom w:val="nil"/>
              <w:right w:val="nil"/>
            </w:tcBorders>
            <w:shd w:val="clear" w:color="auto" w:fill="808080" w:themeFill="background1" w:themeFillShade="80"/>
            <w:vAlign w:val="center"/>
          </w:tcPr>
          <w:p w14:paraId="3C8694F1" w14:textId="77777777" w:rsidR="00182ABD" w:rsidRPr="007B1162" w:rsidRDefault="00182ABD" w:rsidP="00182ABD">
            <w:pPr>
              <w:spacing w:beforeLines="20" w:before="48" w:afterLines="20" w:after="48" w:line="240" w:lineRule="auto"/>
              <w:jc w:val="left"/>
              <w:rPr>
                <w:sz w:val="18"/>
                <w:szCs w:val="18"/>
                <w:lang w:val="pl-PL"/>
              </w:rPr>
            </w:pPr>
          </w:p>
        </w:tc>
      </w:tr>
      <w:tr w:rsidR="00182ABD" w:rsidRPr="00AB565D" w14:paraId="6034A52B" w14:textId="77777777" w:rsidTr="00930473">
        <w:tc>
          <w:tcPr>
            <w:tcW w:w="1418" w:type="dxa"/>
            <w:vMerge/>
            <w:shd w:val="clear" w:color="auto" w:fill="FFE600"/>
            <w:vAlign w:val="center"/>
          </w:tcPr>
          <w:p w14:paraId="0F386916" w14:textId="77777777" w:rsidR="00182ABD" w:rsidRPr="0002448D" w:rsidRDefault="00182ABD" w:rsidP="00182ABD">
            <w:pPr>
              <w:spacing w:before="60" w:after="60" w:line="240" w:lineRule="auto"/>
              <w:jc w:val="center"/>
              <w:rPr>
                <w:rFonts w:eastAsia="Calibri"/>
                <w:sz w:val="18"/>
                <w:szCs w:val="18"/>
                <w:lang w:val="pl-PL"/>
              </w:rPr>
            </w:pPr>
          </w:p>
        </w:tc>
        <w:tc>
          <w:tcPr>
            <w:tcW w:w="1843" w:type="dxa"/>
            <w:tcBorders>
              <w:right w:val="single" w:sz="4" w:space="0" w:color="808080" w:themeColor="background1" w:themeShade="80"/>
            </w:tcBorders>
            <w:shd w:val="clear" w:color="auto" w:fill="auto"/>
            <w:vAlign w:val="center"/>
          </w:tcPr>
          <w:p w14:paraId="0224358E" w14:textId="77777777" w:rsidR="00182ABD" w:rsidRPr="00930473" w:rsidRDefault="00182ABD" w:rsidP="00182ABD">
            <w:pPr>
              <w:spacing w:before="60" w:after="60" w:line="240" w:lineRule="auto"/>
              <w:jc w:val="center"/>
              <w:rPr>
                <w:rFonts w:eastAsia="Calibri"/>
                <w:b/>
                <w:sz w:val="18"/>
                <w:szCs w:val="18"/>
                <w:lang w:val="pl-PL"/>
              </w:rPr>
            </w:pPr>
            <w:r w:rsidRPr="00930473">
              <w:rPr>
                <w:rFonts w:eastAsia="Calibri"/>
                <w:b/>
                <w:sz w:val="18"/>
                <w:szCs w:val="18"/>
                <w:lang w:val="pl-PL"/>
              </w:rPr>
              <w:t>G3b</w:t>
            </w:r>
          </w:p>
        </w:tc>
        <w:tc>
          <w:tcPr>
            <w:tcW w:w="1984" w:type="dxa"/>
            <w:tcBorders>
              <w:top w:val="nil"/>
              <w:left w:val="single" w:sz="4" w:space="0" w:color="808080" w:themeColor="background1" w:themeShade="80"/>
              <w:bottom w:val="nil"/>
              <w:right w:val="nil"/>
            </w:tcBorders>
            <w:shd w:val="clear" w:color="auto" w:fill="BFBFBF" w:themeFill="background1" w:themeFillShade="BF"/>
            <w:vAlign w:val="center"/>
          </w:tcPr>
          <w:p w14:paraId="422743C8" w14:textId="77777777" w:rsidR="00182ABD" w:rsidRPr="007B1162" w:rsidRDefault="00182ABD" w:rsidP="00182ABD">
            <w:pPr>
              <w:spacing w:beforeLines="20" w:before="48" w:afterLines="20" w:after="48" w:line="240" w:lineRule="auto"/>
              <w:jc w:val="left"/>
              <w:rPr>
                <w:sz w:val="18"/>
                <w:szCs w:val="18"/>
                <w:lang w:val="pl-PL"/>
              </w:rPr>
            </w:pPr>
          </w:p>
        </w:tc>
        <w:tc>
          <w:tcPr>
            <w:tcW w:w="1845" w:type="dxa"/>
            <w:tcBorders>
              <w:top w:val="nil"/>
              <w:left w:val="nil"/>
              <w:bottom w:val="nil"/>
              <w:right w:val="nil"/>
            </w:tcBorders>
            <w:shd w:val="clear" w:color="auto" w:fill="808080" w:themeFill="background1" w:themeFillShade="80"/>
            <w:vAlign w:val="center"/>
          </w:tcPr>
          <w:p w14:paraId="7760162A" w14:textId="77777777" w:rsidR="00182ABD" w:rsidRPr="007B1162" w:rsidRDefault="00182ABD" w:rsidP="00182ABD">
            <w:pPr>
              <w:spacing w:beforeLines="20" w:before="48" w:afterLines="20" w:after="48" w:line="240" w:lineRule="auto"/>
              <w:jc w:val="left"/>
              <w:rPr>
                <w:sz w:val="18"/>
                <w:szCs w:val="18"/>
                <w:lang w:val="pl-PL"/>
              </w:rPr>
            </w:pPr>
          </w:p>
        </w:tc>
        <w:tc>
          <w:tcPr>
            <w:tcW w:w="1941" w:type="dxa"/>
            <w:tcBorders>
              <w:top w:val="nil"/>
              <w:left w:val="nil"/>
              <w:bottom w:val="nil"/>
              <w:right w:val="nil"/>
            </w:tcBorders>
            <w:shd w:val="clear" w:color="auto" w:fill="808080" w:themeFill="background1" w:themeFillShade="80"/>
            <w:vAlign w:val="center"/>
          </w:tcPr>
          <w:p w14:paraId="3C3F372E" w14:textId="77777777" w:rsidR="00182ABD" w:rsidRPr="007B1162" w:rsidRDefault="00182ABD" w:rsidP="00182ABD">
            <w:pPr>
              <w:spacing w:beforeLines="20" w:before="48" w:afterLines="20" w:after="48" w:line="240" w:lineRule="auto"/>
              <w:jc w:val="left"/>
              <w:rPr>
                <w:sz w:val="18"/>
                <w:szCs w:val="18"/>
                <w:lang w:val="pl-PL"/>
              </w:rPr>
            </w:pPr>
          </w:p>
        </w:tc>
      </w:tr>
      <w:tr w:rsidR="00182ABD" w:rsidRPr="0002448D" w14:paraId="63F36CDF" w14:textId="77777777" w:rsidTr="00930473">
        <w:tc>
          <w:tcPr>
            <w:tcW w:w="1418" w:type="dxa"/>
            <w:vMerge/>
            <w:shd w:val="clear" w:color="auto" w:fill="FFE600"/>
            <w:vAlign w:val="center"/>
          </w:tcPr>
          <w:p w14:paraId="5EB14B12" w14:textId="77777777" w:rsidR="00182ABD" w:rsidRPr="0002448D" w:rsidRDefault="00182ABD" w:rsidP="00182ABD">
            <w:pPr>
              <w:spacing w:before="60" w:after="60" w:line="240" w:lineRule="auto"/>
              <w:jc w:val="center"/>
              <w:rPr>
                <w:rFonts w:eastAsia="Calibri"/>
                <w:sz w:val="18"/>
                <w:szCs w:val="18"/>
                <w:lang w:val="pl-PL"/>
              </w:rPr>
            </w:pPr>
          </w:p>
        </w:tc>
        <w:tc>
          <w:tcPr>
            <w:tcW w:w="1843" w:type="dxa"/>
            <w:tcBorders>
              <w:right w:val="single" w:sz="4" w:space="0" w:color="808080" w:themeColor="background1" w:themeShade="80"/>
            </w:tcBorders>
            <w:shd w:val="clear" w:color="auto" w:fill="auto"/>
            <w:vAlign w:val="center"/>
          </w:tcPr>
          <w:p w14:paraId="5299D352" w14:textId="77777777" w:rsidR="00182ABD" w:rsidRPr="00930473" w:rsidRDefault="00182ABD" w:rsidP="00182ABD">
            <w:pPr>
              <w:spacing w:before="60" w:after="60" w:line="240" w:lineRule="auto"/>
              <w:jc w:val="center"/>
              <w:rPr>
                <w:rFonts w:eastAsia="Calibri"/>
                <w:b/>
                <w:sz w:val="18"/>
                <w:szCs w:val="18"/>
                <w:lang w:val="pl-PL"/>
              </w:rPr>
            </w:pPr>
            <w:r w:rsidRPr="00930473">
              <w:rPr>
                <w:rFonts w:eastAsia="Calibri"/>
                <w:b/>
                <w:sz w:val="18"/>
                <w:szCs w:val="18"/>
                <w:lang w:val="pl-PL"/>
              </w:rPr>
              <w:t>G4</w:t>
            </w:r>
          </w:p>
        </w:tc>
        <w:tc>
          <w:tcPr>
            <w:tcW w:w="1984" w:type="dxa"/>
            <w:tcBorders>
              <w:top w:val="nil"/>
              <w:left w:val="single" w:sz="4" w:space="0" w:color="808080" w:themeColor="background1" w:themeShade="80"/>
              <w:bottom w:val="nil"/>
              <w:right w:val="nil"/>
            </w:tcBorders>
            <w:shd w:val="clear" w:color="auto" w:fill="808080" w:themeFill="background1" w:themeFillShade="80"/>
            <w:vAlign w:val="center"/>
          </w:tcPr>
          <w:p w14:paraId="724CCC33" w14:textId="77777777" w:rsidR="00182ABD" w:rsidRPr="007B1162" w:rsidRDefault="00182ABD" w:rsidP="00182ABD">
            <w:pPr>
              <w:spacing w:beforeLines="20" w:before="48" w:afterLines="20" w:after="48" w:line="240" w:lineRule="auto"/>
              <w:jc w:val="left"/>
              <w:rPr>
                <w:sz w:val="18"/>
                <w:szCs w:val="18"/>
                <w:lang w:val="pl-PL"/>
              </w:rPr>
            </w:pPr>
          </w:p>
        </w:tc>
        <w:tc>
          <w:tcPr>
            <w:tcW w:w="1845" w:type="dxa"/>
            <w:tcBorders>
              <w:top w:val="nil"/>
              <w:left w:val="nil"/>
              <w:bottom w:val="nil"/>
              <w:right w:val="nil"/>
            </w:tcBorders>
            <w:shd w:val="clear" w:color="auto" w:fill="808080" w:themeFill="background1" w:themeFillShade="80"/>
            <w:vAlign w:val="center"/>
          </w:tcPr>
          <w:p w14:paraId="0742B173" w14:textId="77777777" w:rsidR="00182ABD" w:rsidRPr="007B1162" w:rsidRDefault="00182ABD" w:rsidP="00182ABD">
            <w:pPr>
              <w:spacing w:beforeLines="20" w:before="48" w:afterLines="20" w:after="48" w:line="240" w:lineRule="auto"/>
              <w:jc w:val="left"/>
              <w:rPr>
                <w:sz w:val="18"/>
                <w:szCs w:val="18"/>
                <w:lang w:val="pl-PL"/>
              </w:rPr>
            </w:pPr>
          </w:p>
        </w:tc>
        <w:tc>
          <w:tcPr>
            <w:tcW w:w="1941" w:type="dxa"/>
            <w:tcBorders>
              <w:top w:val="nil"/>
              <w:left w:val="nil"/>
              <w:bottom w:val="nil"/>
              <w:right w:val="nil"/>
            </w:tcBorders>
            <w:shd w:val="clear" w:color="auto" w:fill="808080" w:themeFill="background1" w:themeFillShade="80"/>
            <w:vAlign w:val="center"/>
          </w:tcPr>
          <w:p w14:paraId="249E3211" w14:textId="77777777" w:rsidR="00182ABD" w:rsidRPr="007B1162" w:rsidRDefault="00182ABD" w:rsidP="00182ABD">
            <w:pPr>
              <w:spacing w:beforeLines="20" w:before="48" w:afterLines="20" w:after="48" w:line="240" w:lineRule="auto"/>
              <w:jc w:val="left"/>
              <w:rPr>
                <w:sz w:val="18"/>
                <w:szCs w:val="18"/>
                <w:lang w:val="pl-PL"/>
              </w:rPr>
            </w:pPr>
          </w:p>
        </w:tc>
      </w:tr>
      <w:tr w:rsidR="00182ABD" w:rsidRPr="0002448D" w14:paraId="58B51003" w14:textId="77777777" w:rsidTr="00930473">
        <w:tc>
          <w:tcPr>
            <w:tcW w:w="1418" w:type="dxa"/>
            <w:vMerge/>
            <w:shd w:val="clear" w:color="auto" w:fill="FFE600"/>
            <w:vAlign w:val="center"/>
          </w:tcPr>
          <w:p w14:paraId="0CA497C8" w14:textId="77777777" w:rsidR="00182ABD" w:rsidRPr="0002448D" w:rsidRDefault="00182ABD" w:rsidP="00182ABD">
            <w:pPr>
              <w:spacing w:before="60" w:after="60" w:line="240" w:lineRule="auto"/>
              <w:jc w:val="center"/>
              <w:rPr>
                <w:rFonts w:eastAsia="Calibri"/>
                <w:sz w:val="18"/>
                <w:szCs w:val="18"/>
                <w:lang w:val="pl-PL"/>
              </w:rPr>
            </w:pPr>
          </w:p>
        </w:tc>
        <w:tc>
          <w:tcPr>
            <w:tcW w:w="1843" w:type="dxa"/>
            <w:tcBorders>
              <w:right w:val="single" w:sz="4" w:space="0" w:color="808080" w:themeColor="background1" w:themeShade="80"/>
            </w:tcBorders>
            <w:shd w:val="clear" w:color="auto" w:fill="auto"/>
            <w:vAlign w:val="center"/>
          </w:tcPr>
          <w:p w14:paraId="215F954C" w14:textId="77777777" w:rsidR="00182ABD" w:rsidRPr="00930473" w:rsidRDefault="00182ABD" w:rsidP="00182ABD">
            <w:pPr>
              <w:spacing w:before="60" w:after="60" w:line="240" w:lineRule="auto"/>
              <w:jc w:val="center"/>
              <w:rPr>
                <w:rFonts w:eastAsia="Calibri"/>
                <w:b/>
                <w:sz w:val="18"/>
                <w:szCs w:val="18"/>
                <w:lang w:val="pl-PL"/>
              </w:rPr>
            </w:pPr>
            <w:r w:rsidRPr="00930473">
              <w:rPr>
                <w:rFonts w:eastAsia="Calibri"/>
                <w:b/>
                <w:sz w:val="18"/>
                <w:szCs w:val="18"/>
                <w:lang w:val="pl-PL"/>
              </w:rPr>
              <w:t>G5</w:t>
            </w:r>
          </w:p>
        </w:tc>
        <w:tc>
          <w:tcPr>
            <w:tcW w:w="1984" w:type="dxa"/>
            <w:tcBorders>
              <w:top w:val="nil"/>
              <w:left w:val="single" w:sz="4" w:space="0" w:color="808080" w:themeColor="background1" w:themeShade="80"/>
              <w:bottom w:val="nil"/>
              <w:right w:val="nil"/>
            </w:tcBorders>
            <w:shd w:val="clear" w:color="auto" w:fill="808080" w:themeFill="background1" w:themeFillShade="80"/>
            <w:vAlign w:val="center"/>
          </w:tcPr>
          <w:p w14:paraId="6AEF3C94" w14:textId="77777777" w:rsidR="00182ABD" w:rsidRPr="0002448D" w:rsidRDefault="00182ABD" w:rsidP="00182ABD">
            <w:pPr>
              <w:spacing w:beforeLines="20" w:before="48" w:afterLines="20" w:after="48" w:line="240" w:lineRule="auto"/>
              <w:jc w:val="left"/>
              <w:rPr>
                <w:rFonts w:eastAsia="Calibri"/>
                <w:sz w:val="18"/>
                <w:szCs w:val="18"/>
                <w:lang w:val="pl-PL"/>
              </w:rPr>
            </w:pPr>
          </w:p>
        </w:tc>
        <w:tc>
          <w:tcPr>
            <w:tcW w:w="1845" w:type="dxa"/>
            <w:tcBorders>
              <w:top w:val="nil"/>
              <w:left w:val="nil"/>
              <w:bottom w:val="nil"/>
              <w:right w:val="nil"/>
            </w:tcBorders>
            <w:shd w:val="clear" w:color="auto" w:fill="808080" w:themeFill="background1" w:themeFillShade="80"/>
            <w:vAlign w:val="center"/>
          </w:tcPr>
          <w:p w14:paraId="76F3EDE7" w14:textId="77777777" w:rsidR="00182ABD" w:rsidRPr="0002448D" w:rsidRDefault="00182ABD" w:rsidP="00182ABD">
            <w:pPr>
              <w:spacing w:beforeLines="20" w:before="48" w:afterLines="20" w:after="48" w:line="240" w:lineRule="auto"/>
              <w:jc w:val="left"/>
              <w:rPr>
                <w:rFonts w:eastAsia="Calibri"/>
                <w:sz w:val="18"/>
                <w:szCs w:val="18"/>
                <w:lang w:val="pl-PL"/>
              </w:rPr>
            </w:pPr>
          </w:p>
        </w:tc>
        <w:tc>
          <w:tcPr>
            <w:tcW w:w="1941" w:type="dxa"/>
            <w:tcBorders>
              <w:top w:val="nil"/>
              <w:left w:val="nil"/>
              <w:bottom w:val="nil"/>
              <w:right w:val="nil"/>
            </w:tcBorders>
            <w:shd w:val="clear" w:color="auto" w:fill="808080" w:themeFill="background1" w:themeFillShade="80"/>
            <w:vAlign w:val="center"/>
          </w:tcPr>
          <w:p w14:paraId="06FAA5BE" w14:textId="77777777" w:rsidR="00182ABD" w:rsidRPr="0002448D" w:rsidRDefault="00182ABD" w:rsidP="00182ABD">
            <w:pPr>
              <w:spacing w:beforeLines="20" w:before="48" w:afterLines="20" w:after="48" w:line="240" w:lineRule="auto"/>
              <w:jc w:val="left"/>
              <w:rPr>
                <w:rFonts w:eastAsia="Calibri"/>
                <w:sz w:val="18"/>
                <w:szCs w:val="18"/>
                <w:lang w:val="pl-PL"/>
              </w:rPr>
            </w:pPr>
          </w:p>
        </w:tc>
      </w:tr>
    </w:tbl>
    <w:p w14:paraId="35342074" w14:textId="77777777" w:rsidR="007B1162" w:rsidRDefault="007B1162" w:rsidP="007B1162">
      <w:pPr>
        <w:spacing w:before="0" w:after="0" w:line="240" w:lineRule="auto"/>
      </w:pPr>
    </w:p>
    <w:tbl>
      <w:tblPr>
        <w:tblStyle w:val="Tabela-Siatka"/>
        <w:tblW w:w="2552" w:type="dxa"/>
        <w:jc w:val="right"/>
        <w:tblLayout w:type="fixed"/>
        <w:tblLook w:val="04A0" w:firstRow="1" w:lastRow="0" w:firstColumn="1" w:lastColumn="0" w:noHBand="0" w:noVBand="1"/>
      </w:tblPr>
      <w:tblGrid>
        <w:gridCol w:w="426"/>
        <w:gridCol w:w="2126"/>
      </w:tblGrid>
      <w:tr w:rsidR="007B1162" w:rsidRPr="004959B6" w14:paraId="31F875C8" w14:textId="77777777" w:rsidTr="007B1162">
        <w:trPr>
          <w:trHeight w:val="88"/>
          <w:jc w:val="right"/>
        </w:trPr>
        <w:tc>
          <w:tcPr>
            <w:tcW w:w="426" w:type="dxa"/>
            <w:tcBorders>
              <w:top w:val="single" w:sz="4" w:space="0" w:color="808080" w:themeColor="background1" w:themeShade="80"/>
              <w:right w:val="single" w:sz="4" w:space="0" w:color="808080" w:themeColor="background1" w:themeShade="80"/>
            </w:tcBorders>
            <w:shd w:val="clear" w:color="auto" w:fill="auto"/>
          </w:tcPr>
          <w:p w14:paraId="2BCDC20E" w14:textId="77777777" w:rsidR="007B1162" w:rsidRPr="007B1162" w:rsidRDefault="007B1162" w:rsidP="007B1162">
            <w:pPr>
              <w:spacing w:before="0" w:after="0" w:line="240" w:lineRule="auto"/>
              <w:rPr>
                <w:sz w:val="18"/>
                <w:szCs w:val="18"/>
              </w:rPr>
            </w:pPr>
          </w:p>
        </w:tc>
        <w:tc>
          <w:tcPr>
            <w:tcW w:w="2126" w:type="dxa"/>
            <w:tcBorders>
              <w:top w:val="single" w:sz="4" w:space="0" w:color="808080" w:themeColor="background1" w:themeShade="80"/>
              <w:left w:val="single" w:sz="4" w:space="0" w:color="808080" w:themeColor="background1" w:themeShade="80"/>
            </w:tcBorders>
            <w:shd w:val="clear" w:color="auto" w:fill="auto"/>
          </w:tcPr>
          <w:p w14:paraId="0F9A6A9B" w14:textId="77777777" w:rsidR="007B1162" w:rsidRPr="00442638" w:rsidRDefault="007B1162" w:rsidP="004959B6">
            <w:pPr>
              <w:spacing w:before="0" w:after="0" w:line="240" w:lineRule="auto"/>
              <w:rPr>
                <w:sz w:val="18"/>
                <w:szCs w:val="18"/>
                <w:lang w:val="pl-PL"/>
              </w:rPr>
            </w:pPr>
            <w:r w:rsidRPr="00442638">
              <w:rPr>
                <w:sz w:val="18"/>
                <w:szCs w:val="18"/>
                <w:lang w:val="pl-PL"/>
              </w:rPr>
              <w:t>Niskie ryzyko</w:t>
            </w:r>
            <w:r w:rsidR="004959B6" w:rsidRPr="00442638">
              <w:rPr>
                <w:sz w:val="18"/>
                <w:szCs w:val="18"/>
                <w:lang w:val="pl-PL"/>
              </w:rPr>
              <w:t>*</w:t>
            </w:r>
          </w:p>
        </w:tc>
      </w:tr>
      <w:tr w:rsidR="007B1162" w:rsidRPr="007B1162" w14:paraId="7DE082BE" w14:textId="77777777" w:rsidTr="007B1162">
        <w:trPr>
          <w:trHeight w:val="220"/>
          <w:jc w:val="right"/>
        </w:trPr>
        <w:tc>
          <w:tcPr>
            <w:tcW w:w="426" w:type="dxa"/>
            <w:tcBorders>
              <w:right w:val="single" w:sz="4" w:space="0" w:color="808080" w:themeColor="background1" w:themeShade="80"/>
            </w:tcBorders>
            <w:shd w:val="clear" w:color="auto" w:fill="F2F2F2" w:themeFill="background1" w:themeFillShade="F2"/>
          </w:tcPr>
          <w:p w14:paraId="23CB3959" w14:textId="77777777" w:rsidR="007B1162" w:rsidRPr="004959B6" w:rsidRDefault="007B1162" w:rsidP="007B1162">
            <w:pPr>
              <w:spacing w:before="0" w:after="0" w:line="240" w:lineRule="auto"/>
              <w:rPr>
                <w:sz w:val="18"/>
                <w:szCs w:val="18"/>
                <w:lang w:val="pl-PL"/>
              </w:rPr>
            </w:pPr>
          </w:p>
        </w:tc>
        <w:tc>
          <w:tcPr>
            <w:tcW w:w="2126" w:type="dxa"/>
            <w:tcBorders>
              <w:left w:val="single" w:sz="4" w:space="0" w:color="808080" w:themeColor="background1" w:themeShade="80"/>
            </w:tcBorders>
            <w:shd w:val="clear" w:color="auto" w:fill="auto"/>
          </w:tcPr>
          <w:p w14:paraId="4663CDF1" w14:textId="77777777" w:rsidR="007B1162" w:rsidRPr="00442638" w:rsidRDefault="007B1162" w:rsidP="007B1162">
            <w:pPr>
              <w:spacing w:before="0" w:after="0" w:line="240" w:lineRule="auto"/>
              <w:rPr>
                <w:sz w:val="18"/>
                <w:szCs w:val="18"/>
                <w:lang w:val="pl-PL"/>
              </w:rPr>
            </w:pPr>
            <w:r w:rsidRPr="00442638">
              <w:rPr>
                <w:sz w:val="18"/>
                <w:szCs w:val="18"/>
                <w:lang w:val="pl-PL"/>
              </w:rPr>
              <w:t>Podwyższone ryzyko</w:t>
            </w:r>
          </w:p>
        </w:tc>
      </w:tr>
      <w:tr w:rsidR="007B1162" w:rsidRPr="007B1162" w14:paraId="1DD52F1B" w14:textId="77777777" w:rsidTr="007B1162">
        <w:trPr>
          <w:trHeight w:val="119"/>
          <w:jc w:val="right"/>
        </w:trPr>
        <w:tc>
          <w:tcPr>
            <w:tcW w:w="426" w:type="dxa"/>
            <w:tcBorders>
              <w:right w:val="single" w:sz="4" w:space="0" w:color="808080" w:themeColor="background1" w:themeShade="80"/>
            </w:tcBorders>
            <w:shd w:val="clear" w:color="auto" w:fill="BFBFBF" w:themeFill="background1" w:themeFillShade="BF"/>
          </w:tcPr>
          <w:p w14:paraId="2904BE51" w14:textId="77777777" w:rsidR="007B1162" w:rsidRPr="007B1162" w:rsidRDefault="007B1162" w:rsidP="007B1162">
            <w:pPr>
              <w:spacing w:before="0" w:after="0" w:line="240" w:lineRule="auto"/>
              <w:rPr>
                <w:sz w:val="18"/>
                <w:szCs w:val="18"/>
              </w:rPr>
            </w:pPr>
          </w:p>
        </w:tc>
        <w:tc>
          <w:tcPr>
            <w:tcW w:w="2126" w:type="dxa"/>
            <w:tcBorders>
              <w:left w:val="single" w:sz="4" w:space="0" w:color="808080" w:themeColor="background1" w:themeShade="80"/>
            </w:tcBorders>
            <w:shd w:val="clear" w:color="auto" w:fill="auto"/>
          </w:tcPr>
          <w:p w14:paraId="3605F6AE" w14:textId="77777777" w:rsidR="007B1162" w:rsidRPr="00442638" w:rsidRDefault="007B1162" w:rsidP="007B1162">
            <w:pPr>
              <w:spacing w:before="0" w:after="0" w:line="240" w:lineRule="auto"/>
              <w:rPr>
                <w:sz w:val="18"/>
                <w:szCs w:val="18"/>
                <w:lang w:val="pl-PL"/>
              </w:rPr>
            </w:pPr>
            <w:r w:rsidRPr="00442638">
              <w:rPr>
                <w:sz w:val="18"/>
                <w:szCs w:val="18"/>
                <w:lang w:val="pl-PL"/>
              </w:rPr>
              <w:t>Wysokie ryzyko</w:t>
            </w:r>
          </w:p>
        </w:tc>
      </w:tr>
      <w:tr w:rsidR="007B1162" w:rsidRPr="007B1162" w14:paraId="377FFF39" w14:textId="77777777" w:rsidTr="007B1162">
        <w:trPr>
          <w:trHeight w:val="76"/>
          <w:jc w:val="right"/>
        </w:trPr>
        <w:tc>
          <w:tcPr>
            <w:tcW w:w="426" w:type="dxa"/>
            <w:tcBorders>
              <w:bottom w:val="single" w:sz="4" w:space="0" w:color="808080" w:themeColor="background1" w:themeShade="80"/>
              <w:right w:val="single" w:sz="4" w:space="0" w:color="808080" w:themeColor="background1" w:themeShade="80"/>
            </w:tcBorders>
            <w:shd w:val="clear" w:color="auto" w:fill="808080" w:themeFill="background1" w:themeFillShade="80"/>
          </w:tcPr>
          <w:p w14:paraId="167CD3A3" w14:textId="77777777" w:rsidR="007B1162" w:rsidRPr="007B1162" w:rsidRDefault="007B1162" w:rsidP="007B1162">
            <w:pPr>
              <w:spacing w:before="0" w:after="0" w:line="240" w:lineRule="auto"/>
              <w:rPr>
                <w:sz w:val="18"/>
                <w:szCs w:val="18"/>
              </w:rPr>
            </w:pPr>
          </w:p>
        </w:tc>
        <w:tc>
          <w:tcPr>
            <w:tcW w:w="2126" w:type="dxa"/>
            <w:tcBorders>
              <w:left w:val="single" w:sz="4" w:space="0" w:color="808080" w:themeColor="background1" w:themeShade="80"/>
              <w:bottom w:val="single" w:sz="4" w:space="0" w:color="808080" w:themeColor="background1" w:themeShade="80"/>
            </w:tcBorders>
            <w:shd w:val="clear" w:color="auto" w:fill="auto"/>
          </w:tcPr>
          <w:p w14:paraId="4DCFC9DD" w14:textId="77777777" w:rsidR="007B1162" w:rsidRPr="00442638" w:rsidRDefault="007B1162" w:rsidP="007B1162">
            <w:pPr>
              <w:spacing w:before="0" w:after="0" w:line="240" w:lineRule="auto"/>
              <w:rPr>
                <w:sz w:val="18"/>
                <w:szCs w:val="18"/>
                <w:lang w:val="pl-PL"/>
              </w:rPr>
            </w:pPr>
            <w:r w:rsidRPr="00442638">
              <w:rPr>
                <w:sz w:val="18"/>
                <w:szCs w:val="18"/>
                <w:lang w:val="pl-PL"/>
              </w:rPr>
              <w:t>Bardzo wysokie ryzyko</w:t>
            </w:r>
          </w:p>
        </w:tc>
      </w:tr>
    </w:tbl>
    <w:p w14:paraId="446F02AD" w14:textId="77777777" w:rsidR="004959B6" w:rsidRPr="004959B6" w:rsidRDefault="004959B6" w:rsidP="00477B20">
      <w:pPr>
        <w:rPr>
          <w:rFonts w:eastAsia="Calibri"/>
          <w:sz w:val="18"/>
          <w:lang w:val="pl-PL"/>
        </w:rPr>
      </w:pPr>
      <w:r>
        <w:rPr>
          <w:sz w:val="18"/>
          <w:szCs w:val="18"/>
          <w:lang w:val="pl-PL"/>
        </w:rPr>
        <w:t>*</w:t>
      </w:r>
      <w:r w:rsidR="007F6F81">
        <w:rPr>
          <w:sz w:val="18"/>
          <w:szCs w:val="18"/>
          <w:lang w:val="pl-PL"/>
        </w:rPr>
        <w:t xml:space="preserve">nie stwierdza się </w:t>
      </w:r>
      <w:proofErr w:type="spellStart"/>
      <w:r w:rsidR="007F6F81">
        <w:rPr>
          <w:sz w:val="18"/>
          <w:szCs w:val="18"/>
          <w:lang w:val="pl-PL"/>
        </w:rPr>
        <w:t>PC</w:t>
      </w:r>
      <w:r w:rsidRPr="004959B6">
        <w:rPr>
          <w:sz w:val="18"/>
          <w:szCs w:val="18"/>
          <w:lang w:val="pl-PL"/>
        </w:rPr>
        <w:t>hN</w:t>
      </w:r>
      <w:proofErr w:type="spellEnd"/>
      <w:r w:rsidRPr="004959B6">
        <w:rPr>
          <w:sz w:val="18"/>
          <w:szCs w:val="18"/>
          <w:lang w:val="pl-PL"/>
        </w:rPr>
        <w:t xml:space="preserve"> przy braku współistnienia </w:t>
      </w:r>
      <w:r w:rsidR="007F6F81">
        <w:rPr>
          <w:sz w:val="18"/>
          <w:szCs w:val="18"/>
          <w:lang w:val="pl-PL"/>
        </w:rPr>
        <w:t xml:space="preserve">innych </w:t>
      </w:r>
      <w:r w:rsidRPr="004959B6">
        <w:rPr>
          <w:sz w:val="18"/>
          <w:szCs w:val="18"/>
          <w:lang w:val="pl-PL"/>
        </w:rPr>
        <w:t>markerów uszkodzenia nerek</w:t>
      </w:r>
    </w:p>
    <w:p w14:paraId="71C67FEF" w14:textId="77777777" w:rsidR="00477B20" w:rsidRDefault="00615325" w:rsidP="00477B20">
      <w:pPr>
        <w:rPr>
          <w:sz w:val="18"/>
        </w:rPr>
      </w:pPr>
      <w:proofErr w:type="spellStart"/>
      <w:r w:rsidRPr="00615325">
        <w:rPr>
          <w:rFonts w:eastAsia="Calibri"/>
          <w:sz w:val="18"/>
        </w:rPr>
        <w:t>Ź</w:t>
      </w:r>
      <w:r w:rsidR="00477B20">
        <w:rPr>
          <w:rFonts w:eastAsia="Calibri"/>
          <w:sz w:val="18"/>
        </w:rPr>
        <w:t>ródło</w:t>
      </w:r>
      <w:proofErr w:type="spellEnd"/>
      <w:r w:rsidR="00477B20">
        <w:rPr>
          <w:rFonts w:eastAsia="Calibri"/>
          <w:sz w:val="18"/>
        </w:rPr>
        <w:t xml:space="preserve">: </w:t>
      </w:r>
      <w:r w:rsidR="00477B20" w:rsidRPr="00A875F2">
        <w:rPr>
          <w:sz w:val="18"/>
        </w:rPr>
        <w:t>KDIGO 2012 Clinical Practic</w:t>
      </w:r>
      <w:r w:rsidR="00477B20" w:rsidRPr="00BE6340">
        <w:rPr>
          <w:sz w:val="18"/>
        </w:rPr>
        <w:t>e Guideline for the Evaluation and Management of Chronic Kidney Disease, Official Journal of the International Society of Nephrology, 2013</w:t>
      </w:r>
      <w:r w:rsidR="00477B20">
        <w:rPr>
          <w:sz w:val="18"/>
        </w:rPr>
        <w:t>, s. 6</w:t>
      </w:r>
    </w:p>
    <w:p w14:paraId="6726F2E7" w14:textId="003B0914" w:rsidR="00945C45" w:rsidRDefault="00322205" w:rsidP="00EB0064">
      <w:pPr>
        <w:rPr>
          <w:lang w:val="pl-PL"/>
        </w:rPr>
      </w:pPr>
      <w:r w:rsidRPr="00EB0064">
        <w:rPr>
          <w:szCs w:val="24"/>
          <w:lang w:val="pl-PL"/>
        </w:rPr>
        <w:t xml:space="preserve">Pełne postępowanie diagnostyczne, oprócz rozpoznania i oceny stopnia zaawansowania </w:t>
      </w:r>
      <w:proofErr w:type="spellStart"/>
      <w:r w:rsidRPr="00EB0064">
        <w:rPr>
          <w:szCs w:val="24"/>
          <w:lang w:val="pl-PL"/>
        </w:rPr>
        <w:t>PChN</w:t>
      </w:r>
      <w:proofErr w:type="spellEnd"/>
      <w:r w:rsidRPr="00EB0064">
        <w:rPr>
          <w:szCs w:val="24"/>
          <w:lang w:val="pl-PL"/>
        </w:rPr>
        <w:t xml:space="preserve">, polega również m.in. na ustaleniu przyczyny </w:t>
      </w:r>
      <w:r w:rsidR="00945C45" w:rsidRPr="00EB0064">
        <w:rPr>
          <w:szCs w:val="24"/>
          <w:lang w:val="pl-PL"/>
        </w:rPr>
        <w:t xml:space="preserve">zachorowania. Przyczyna </w:t>
      </w:r>
      <w:proofErr w:type="spellStart"/>
      <w:r w:rsidR="00945C45" w:rsidRPr="00EB0064">
        <w:rPr>
          <w:szCs w:val="24"/>
          <w:lang w:val="pl-PL"/>
        </w:rPr>
        <w:t>PChN</w:t>
      </w:r>
      <w:proofErr w:type="spellEnd"/>
      <w:r w:rsidR="00945C45" w:rsidRPr="00EB0064">
        <w:rPr>
          <w:szCs w:val="24"/>
          <w:lang w:val="pl-PL"/>
        </w:rPr>
        <w:t xml:space="preserve"> może być ustalona na podstawie</w:t>
      </w:r>
      <w:r w:rsidR="00EB0064" w:rsidRPr="00EB0064">
        <w:rPr>
          <w:szCs w:val="24"/>
          <w:lang w:val="pl-PL"/>
        </w:rPr>
        <w:t xml:space="preserve"> objawów podmiotowych i przedmiotowych (np.  dolegliwości w tracie mikcji, poinfekcyjne kłębuszkowe zapalenie nerek), chorób przewlekłych pacjenta, nieprawidłowych wyników wcześniejszych badań (np. białkomocz, </w:t>
      </w:r>
      <w:proofErr w:type="spellStart"/>
      <w:r w:rsidR="00EB0064" w:rsidRPr="00EB0064">
        <w:rPr>
          <w:szCs w:val="24"/>
          <w:lang w:val="pl-PL"/>
        </w:rPr>
        <w:t>krwinkomocz</w:t>
      </w:r>
      <w:proofErr w:type="spellEnd"/>
      <w:r w:rsidR="00EB0064" w:rsidRPr="00EB0064">
        <w:rPr>
          <w:szCs w:val="24"/>
          <w:lang w:val="pl-PL"/>
        </w:rPr>
        <w:t>)</w:t>
      </w:r>
      <w:r w:rsidR="00EB0064">
        <w:rPr>
          <w:szCs w:val="24"/>
          <w:lang w:val="pl-PL"/>
        </w:rPr>
        <w:t xml:space="preserve"> </w:t>
      </w:r>
      <w:r w:rsidR="00EB0064" w:rsidRPr="00EB0064">
        <w:rPr>
          <w:lang w:val="pl-PL"/>
        </w:rPr>
        <w:t>czy obciążenia historią chorób nerek w wywiadzie rodzinnym</w:t>
      </w:r>
      <w:r w:rsidR="00112946" w:rsidRPr="00EB0064">
        <w:rPr>
          <w:vertAlign w:val="superscript"/>
          <w:lang w:val="pl-PL"/>
        </w:rPr>
        <w:footnoteReference w:id="16"/>
      </w:r>
      <w:r w:rsidR="00EB0064" w:rsidRPr="00EB0064">
        <w:rPr>
          <w:szCs w:val="24"/>
          <w:lang w:val="pl-PL"/>
        </w:rPr>
        <w:t>.</w:t>
      </w:r>
      <w:r w:rsidR="00EB0064">
        <w:rPr>
          <w:lang w:val="pl-PL"/>
        </w:rPr>
        <w:t xml:space="preserve"> Przyczyny </w:t>
      </w:r>
      <w:proofErr w:type="spellStart"/>
      <w:r w:rsidR="00EB0064">
        <w:rPr>
          <w:lang w:val="pl-PL"/>
        </w:rPr>
        <w:t>PChN</w:t>
      </w:r>
      <w:proofErr w:type="spellEnd"/>
      <w:r w:rsidR="00EB0064">
        <w:rPr>
          <w:lang w:val="pl-PL"/>
        </w:rPr>
        <w:t xml:space="preserve"> są bezpośrednio związane z czynnikami ryzyka zachorowania. Modyfikowalne i niemodyfikowalne czynniki ryzyka </w:t>
      </w:r>
      <w:proofErr w:type="spellStart"/>
      <w:r w:rsidR="00EB0064">
        <w:rPr>
          <w:lang w:val="pl-PL"/>
        </w:rPr>
        <w:t>PChN</w:t>
      </w:r>
      <w:proofErr w:type="spellEnd"/>
      <w:r w:rsidR="00EB0064">
        <w:rPr>
          <w:lang w:val="pl-PL"/>
        </w:rPr>
        <w:t xml:space="preserve"> przedstawiono w </w:t>
      </w:r>
      <w:r w:rsidR="001E35A3">
        <w:rPr>
          <w:lang w:val="pl-PL"/>
        </w:rPr>
        <w:t>pod</w:t>
      </w:r>
      <w:r w:rsidR="00EB0064">
        <w:rPr>
          <w:lang w:val="pl-PL"/>
        </w:rPr>
        <w:t xml:space="preserve">rozdziale </w:t>
      </w:r>
      <w:r w:rsidR="001E35A3">
        <w:rPr>
          <w:lang w:val="pl-PL"/>
        </w:rPr>
        <w:t>2.2.4</w:t>
      </w:r>
      <w:r w:rsidR="00EB0064">
        <w:rPr>
          <w:lang w:val="pl-PL"/>
        </w:rPr>
        <w:t>. Do przyczyn występowania przewlekłej choroby nerek należą</w:t>
      </w:r>
      <w:r w:rsidR="00C405BD">
        <w:rPr>
          <w:lang w:val="pl-PL"/>
        </w:rPr>
        <w:t xml:space="preserve"> m.in.</w:t>
      </w:r>
      <w:r w:rsidR="00EB0064" w:rsidRPr="00967563">
        <w:rPr>
          <w:rStyle w:val="Odwoanieprzypisudolnego"/>
          <w:sz w:val="22"/>
          <w:lang w:val="pl-PL"/>
        </w:rPr>
        <w:footnoteReference w:id="17"/>
      </w:r>
      <w:r w:rsidR="00EB0064">
        <w:rPr>
          <w:lang w:val="pl-PL"/>
        </w:rPr>
        <w:t>:</w:t>
      </w:r>
    </w:p>
    <w:p w14:paraId="5C416427" w14:textId="77777777" w:rsidR="00EB0064" w:rsidRPr="00EB0064" w:rsidRDefault="00ED4BFF" w:rsidP="00F84B72">
      <w:pPr>
        <w:pStyle w:val="EYBulletedList1"/>
        <w:numPr>
          <w:ilvl w:val="0"/>
          <w:numId w:val="11"/>
        </w:numPr>
        <w:ind w:left="289" w:hanging="289"/>
        <w:jc w:val="both"/>
        <w:rPr>
          <w:sz w:val="22"/>
          <w:lang w:val="pl-PL"/>
        </w:rPr>
      </w:pPr>
      <w:r>
        <w:rPr>
          <w:sz w:val="22"/>
          <w:lang w:val="pl-PL"/>
        </w:rPr>
        <w:t>c</w:t>
      </w:r>
      <w:r w:rsidR="00EB0064" w:rsidRPr="00EB0064">
        <w:rPr>
          <w:sz w:val="22"/>
          <w:lang w:val="pl-PL"/>
        </w:rPr>
        <w:t>ukrzyca</w:t>
      </w:r>
      <w:r w:rsidR="00583908">
        <w:rPr>
          <w:sz w:val="22"/>
          <w:lang w:val="pl-PL"/>
        </w:rPr>
        <w:t xml:space="preserve"> (nefropatia cukrzycowa)</w:t>
      </w:r>
    </w:p>
    <w:p w14:paraId="53AC1D02" w14:textId="77777777" w:rsidR="00EB0064" w:rsidRPr="00EB0064" w:rsidRDefault="00EB0064" w:rsidP="00F84B72">
      <w:pPr>
        <w:pStyle w:val="EYBulletedList1"/>
        <w:numPr>
          <w:ilvl w:val="0"/>
          <w:numId w:val="11"/>
        </w:numPr>
        <w:ind w:left="289" w:hanging="289"/>
        <w:jc w:val="both"/>
        <w:rPr>
          <w:sz w:val="22"/>
          <w:lang w:val="pl-PL"/>
        </w:rPr>
      </w:pPr>
      <w:r w:rsidRPr="00EB0064">
        <w:rPr>
          <w:sz w:val="22"/>
          <w:lang w:val="pl-PL"/>
        </w:rPr>
        <w:t>nadciśnienie tętnicze</w:t>
      </w:r>
      <w:r w:rsidR="00583908">
        <w:rPr>
          <w:sz w:val="22"/>
          <w:lang w:val="pl-PL"/>
        </w:rPr>
        <w:t xml:space="preserve"> (nefropatia nadciśnieniowa)</w:t>
      </w:r>
    </w:p>
    <w:p w14:paraId="0CE1C4B3" w14:textId="77777777" w:rsidR="00EB0064" w:rsidRPr="00EB0064" w:rsidRDefault="00EB0064" w:rsidP="00F84B72">
      <w:pPr>
        <w:pStyle w:val="EYBulletedList1"/>
        <w:numPr>
          <w:ilvl w:val="0"/>
          <w:numId w:val="11"/>
        </w:numPr>
        <w:ind w:left="289" w:hanging="289"/>
        <w:jc w:val="both"/>
        <w:rPr>
          <w:sz w:val="22"/>
          <w:lang w:val="pl-PL"/>
        </w:rPr>
      </w:pPr>
      <w:r w:rsidRPr="00EB0064">
        <w:rPr>
          <w:sz w:val="22"/>
          <w:lang w:val="pl-PL"/>
        </w:rPr>
        <w:t>pierwotne i wtórne choroby kłębuszków nerkowych</w:t>
      </w:r>
    </w:p>
    <w:p w14:paraId="4C43BAE1" w14:textId="77777777" w:rsidR="00EB0064" w:rsidRPr="00EB0064" w:rsidRDefault="00EB0064" w:rsidP="00F84B72">
      <w:pPr>
        <w:pStyle w:val="EYBulletedList1"/>
        <w:numPr>
          <w:ilvl w:val="0"/>
          <w:numId w:val="11"/>
        </w:numPr>
        <w:ind w:left="289" w:hanging="289"/>
        <w:jc w:val="both"/>
        <w:rPr>
          <w:sz w:val="22"/>
          <w:lang w:val="pl-PL"/>
        </w:rPr>
      </w:pPr>
      <w:r w:rsidRPr="00EB0064">
        <w:rPr>
          <w:sz w:val="22"/>
          <w:lang w:val="pl-PL"/>
        </w:rPr>
        <w:t>cewkowo-śródmiąższowe choroby nerek</w:t>
      </w:r>
    </w:p>
    <w:p w14:paraId="5D6517E3" w14:textId="77777777" w:rsidR="00EB0064" w:rsidRPr="00EB0064" w:rsidRDefault="00EB0064" w:rsidP="00F84B72">
      <w:pPr>
        <w:pStyle w:val="EYBulletedList1"/>
        <w:numPr>
          <w:ilvl w:val="0"/>
          <w:numId w:val="11"/>
        </w:numPr>
        <w:ind w:left="289" w:hanging="289"/>
        <w:jc w:val="both"/>
        <w:rPr>
          <w:sz w:val="22"/>
          <w:lang w:val="pl-PL"/>
        </w:rPr>
      </w:pPr>
      <w:r w:rsidRPr="00EB0064">
        <w:rPr>
          <w:sz w:val="22"/>
          <w:lang w:val="pl-PL"/>
        </w:rPr>
        <w:t>torbielowatość i inne wrodzone choroby nerek</w:t>
      </w:r>
    </w:p>
    <w:p w14:paraId="0A524A9E" w14:textId="77777777" w:rsidR="00EB0064" w:rsidRPr="00EB0064" w:rsidRDefault="00EB0064" w:rsidP="00F84B72">
      <w:pPr>
        <w:pStyle w:val="EYBulletedList1"/>
        <w:numPr>
          <w:ilvl w:val="0"/>
          <w:numId w:val="11"/>
        </w:numPr>
        <w:ind w:left="289" w:hanging="289"/>
        <w:jc w:val="both"/>
        <w:rPr>
          <w:sz w:val="22"/>
          <w:lang w:val="pl-PL"/>
        </w:rPr>
      </w:pPr>
      <w:r w:rsidRPr="00EB0064">
        <w:rPr>
          <w:sz w:val="22"/>
          <w:lang w:val="pl-PL"/>
        </w:rPr>
        <w:t>nefropatia niedokrwienna</w:t>
      </w:r>
    </w:p>
    <w:p w14:paraId="12053923" w14:textId="77777777" w:rsidR="00EB0064" w:rsidRPr="00EB0064" w:rsidRDefault="00EB0064" w:rsidP="00F84B72">
      <w:pPr>
        <w:pStyle w:val="EYBulletedList1"/>
        <w:numPr>
          <w:ilvl w:val="0"/>
          <w:numId w:val="11"/>
        </w:numPr>
        <w:ind w:left="289" w:hanging="289"/>
        <w:jc w:val="both"/>
        <w:rPr>
          <w:sz w:val="22"/>
          <w:lang w:val="pl-PL"/>
        </w:rPr>
      </w:pPr>
      <w:r w:rsidRPr="00EB0064">
        <w:rPr>
          <w:sz w:val="22"/>
          <w:lang w:val="pl-PL"/>
        </w:rPr>
        <w:t>inne (np. choroby zakaźne, onkologiczne)</w:t>
      </w:r>
    </w:p>
    <w:p w14:paraId="6D6DADDB" w14:textId="77777777" w:rsidR="00593ED6" w:rsidRPr="00EB0064" w:rsidRDefault="00593ED6" w:rsidP="00EB0064">
      <w:pPr>
        <w:pStyle w:val="EYBulletedList1"/>
        <w:numPr>
          <w:ilvl w:val="0"/>
          <w:numId w:val="0"/>
        </w:numPr>
        <w:jc w:val="both"/>
        <w:rPr>
          <w:kern w:val="0"/>
          <w:sz w:val="22"/>
          <w:lang w:val="pl-PL"/>
        </w:rPr>
      </w:pPr>
      <w:r w:rsidRPr="00EB0064">
        <w:rPr>
          <w:kern w:val="0"/>
          <w:sz w:val="22"/>
          <w:lang w:val="pl-PL"/>
        </w:rPr>
        <w:t xml:space="preserve">Niezależnie od przyczyny występowania </w:t>
      </w:r>
      <w:proofErr w:type="spellStart"/>
      <w:r w:rsidRPr="00EB0064">
        <w:rPr>
          <w:kern w:val="0"/>
          <w:sz w:val="22"/>
          <w:lang w:val="pl-PL"/>
        </w:rPr>
        <w:t>PChN</w:t>
      </w:r>
      <w:proofErr w:type="spellEnd"/>
      <w:r w:rsidRPr="00EB0064">
        <w:rPr>
          <w:kern w:val="0"/>
          <w:sz w:val="22"/>
          <w:lang w:val="pl-PL"/>
        </w:rPr>
        <w:t>, rozwój choroby zależy między innymi od stopnia upośledzenia czynności (utraty) nefronów, czego konsekwencją jest hiperfiltracja w nieuszkodzonych nefronach, co z kolei prowadzi do zapętlenia procesu ich niszczenia</w:t>
      </w:r>
      <w:r w:rsidRPr="00EB0064">
        <w:rPr>
          <w:kern w:val="0"/>
          <w:vertAlign w:val="superscript"/>
        </w:rPr>
        <w:footnoteReference w:id="18"/>
      </w:r>
      <w:r w:rsidRPr="00EB0064">
        <w:rPr>
          <w:kern w:val="0"/>
          <w:sz w:val="22"/>
          <w:lang w:val="pl-PL"/>
        </w:rPr>
        <w:t>.</w:t>
      </w:r>
    </w:p>
    <w:p w14:paraId="23B3A8F7" w14:textId="77777777" w:rsidR="00C06972" w:rsidRPr="00970FC6" w:rsidRDefault="00C06972" w:rsidP="00C06972">
      <w:pPr>
        <w:pStyle w:val="EYHeading4"/>
        <w:rPr>
          <w:rFonts w:eastAsia="Calibri"/>
          <w:color w:val="000000" w:themeColor="text1"/>
          <w:lang w:val="pl-PL"/>
        </w:rPr>
      </w:pPr>
      <w:bookmarkStart w:id="43" w:name="_Toc486537901"/>
      <w:r w:rsidRPr="00970FC6">
        <w:rPr>
          <w:rFonts w:eastAsia="Calibri"/>
          <w:color w:val="000000" w:themeColor="text1"/>
          <w:lang w:val="pl-PL"/>
        </w:rPr>
        <w:t xml:space="preserve">Ustalenie </w:t>
      </w:r>
      <w:r w:rsidR="00502DB3" w:rsidRPr="00970FC6">
        <w:rPr>
          <w:rFonts w:eastAsia="Calibri"/>
          <w:color w:val="000000" w:themeColor="text1"/>
          <w:lang w:val="pl-PL"/>
        </w:rPr>
        <w:t xml:space="preserve">obecności </w:t>
      </w:r>
      <w:r w:rsidRPr="00970FC6">
        <w:rPr>
          <w:rFonts w:eastAsia="Calibri"/>
          <w:color w:val="000000" w:themeColor="text1"/>
          <w:lang w:val="pl-PL"/>
        </w:rPr>
        <w:t>czynników przyspieszających postęp choroby</w:t>
      </w:r>
      <w:bookmarkEnd w:id="43"/>
    </w:p>
    <w:p w14:paraId="3E65CFB1" w14:textId="77777777" w:rsidR="00C06972" w:rsidRDefault="00C06972" w:rsidP="00C06972">
      <w:pPr>
        <w:rPr>
          <w:rFonts w:eastAsia="Calibri"/>
          <w:lang w:val="pl-PL"/>
        </w:rPr>
      </w:pPr>
      <w:r>
        <w:rPr>
          <w:rFonts w:eastAsia="Calibri"/>
          <w:lang w:val="pl-PL"/>
        </w:rPr>
        <w:t xml:space="preserve">Dynamika progresji </w:t>
      </w:r>
      <w:proofErr w:type="spellStart"/>
      <w:r>
        <w:rPr>
          <w:rFonts w:eastAsia="Calibri"/>
          <w:lang w:val="pl-PL"/>
        </w:rPr>
        <w:t>PChN</w:t>
      </w:r>
      <w:proofErr w:type="spellEnd"/>
      <w:r>
        <w:rPr>
          <w:rFonts w:eastAsia="Calibri"/>
          <w:lang w:val="pl-PL"/>
        </w:rPr>
        <w:t xml:space="preserve"> jest zależna m.in. od</w:t>
      </w:r>
      <w:r w:rsidRPr="00DD02B0">
        <w:rPr>
          <w:rStyle w:val="Odwoanieprzypisudolnego"/>
          <w:rFonts w:eastAsia="Calibri"/>
          <w:sz w:val="22"/>
          <w:szCs w:val="22"/>
          <w:lang w:val="pl-PL"/>
        </w:rPr>
        <w:footnoteReference w:id="19"/>
      </w:r>
      <w:r>
        <w:rPr>
          <w:rFonts w:eastAsia="Calibri"/>
          <w:lang w:val="pl-PL"/>
        </w:rPr>
        <w:t>:</w:t>
      </w:r>
    </w:p>
    <w:p w14:paraId="62DD8979" w14:textId="77777777" w:rsidR="00C06972" w:rsidRPr="006F3794" w:rsidRDefault="00C06972" w:rsidP="00F84B72">
      <w:pPr>
        <w:pStyle w:val="EYBulletedList1"/>
        <w:numPr>
          <w:ilvl w:val="0"/>
          <w:numId w:val="11"/>
        </w:numPr>
        <w:ind w:left="289" w:hanging="289"/>
        <w:jc w:val="both"/>
        <w:rPr>
          <w:sz w:val="22"/>
          <w:lang w:val="pl-PL"/>
        </w:rPr>
      </w:pPr>
      <w:r w:rsidRPr="006F3794">
        <w:rPr>
          <w:sz w:val="22"/>
          <w:lang w:val="pl-PL"/>
        </w:rPr>
        <w:t>progresji choroby podstawowej</w:t>
      </w:r>
    </w:p>
    <w:p w14:paraId="67EFCE6E" w14:textId="77777777" w:rsidR="00C06972" w:rsidRPr="006F3794" w:rsidRDefault="00C06972" w:rsidP="00F84B72">
      <w:pPr>
        <w:pStyle w:val="EYBulletedList1"/>
        <w:numPr>
          <w:ilvl w:val="0"/>
          <w:numId w:val="11"/>
        </w:numPr>
        <w:ind w:left="289" w:hanging="289"/>
        <w:jc w:val="both"/>
        <w:rPr>
          <w:sz w:val="22"/>
          <w:lang w:val="pl-PL"/>
        </w:rPr>
      </w:pPr>
      <w:r w:rsidRPr="006F3794">
        <w:rPr>
          <w:sz w:val="22"/>
          <w:lang w:val="pl-PL"/>
        </w:rPr>
        <w:t xml:space="preserve">wtórnych zmian hemodynamicznych i metabolicznych w nerkach, będących czynnikami przyspieszającymi postęp </w:t>
      </w:r>
      <w:proofErr w:type="spellStart"/>
      <w:r w:rsidRPr="006F3794">
        <w:rPr>
          <w:sz w:val="22"/>
          <w:lang w:val="pl-PL"/>
        </w:rPr>
        <w:t>PChN</w:t>
      </w:r>
      <w:proofErr w:type="spellEnd"/>
    </w:p>
    <w:p w14:paraId="75CF4C3E" w14:textId="73D7F318" w:rsidR="009A3A45" w:rsidRDefault="00087034" w:rsidP="00576D80">
      <w:pPr>
        <w:rPr>
          <w:rFonts w:eastAsia="Calibri"/>
          <w:lang w:val="pl-PL"/>
        </w:rPr>
      </w:pPr>
      <w:r>
        <w:rPr>
          <w:rFonts w:eastAsia="Calibri"/>
          <w:lang w:val="pl-PL"/>
        </w:rPr>
        <w:lastRenderedPageBreak/>
        <w:t xml:space="preserve">Do czynników przyspieszających postęp </w:t>
      </w:r>
      <w:proofErr w:type="spellStart"/>
      <w:r>
        <w:rPr>
          <w:rFonts w:eastAsia="Calibri"/>
          <w:lang w:val="pl-PL"/>
        </w:rPr>
        <w:t>PChN</w:t>
      </w:r>
      <w:proofErr w:type="spellEnd"/>
      <w:r>
        <w:rPr>
          <w:rFonts w:eastAsia="Calibri"/>
          <w:lang w:val="pl-PL"/>
        </w:rPr>
        <w:t xml:space="preserve"> zaliczamy czynniki modyfikowalne (tj.</w:t>
      </w:r>
      <w:r w:rsidR="00206599">
        <w:rPr>
          <w:rFonts w:eastAsia="Calibri"/>
          <w:lang w:val="pl-PL"/>
        </w:rPr>
        <w:t> </w:t>
      </w:r>
      <w:r>
        <w:rPr>
          <w:rFonts w:eastAsia="Calibri"/>
          <w:lang w:val="pl-PL"/>
        </w:rPr>
        <w:t xml:space="preserve">podlegające </w:t>
      </w:r>
      <w:r w:rsidR="00576D80">
        <w:rPr>
          <w:rFonts w:eastAsia="Calibri"/>
          <w:lang w:val="pl-PL"/>
        </w:rPr>
        <w:t>zmianie</w:t>
      </w:r>
      <w:r>
        <w:rPr>
          <w:rFonts w:eastAsia="Calibri"/>
          <w:lang w:val="pl-PL"/>
        </w:rPr>
        <w:t xml:space="preserve">) i niemodyfikowalne (tj. takie, na których zmianę nie mamy wpływu). </w:t>
      </w:r>
      <w:r w:rsidR="00576D80">
        <w:rPr>
          <w:rFonts w:eastAsia="Calibri"/>
          <w:lang w:val="pl-PL"/>
        </w:rPr>
        <w:t xml:space="preserve">Czynniki te zostały przedstawione w tabeli </w:t>
      </w:r>
      <w:r w:rsidR="001E35A3">
        <w:rPr>
          <w:rFonts w:eastAsia="Calibri"/>
          <w:lang w:val="pl-PL"/>
        </w:rPr>
        <w:t>5</w:t>
      </w:r>
      <w:r w:rsidR="00576D80">
        <w:rPr>
          <w:rFonts w:eastAsia="Calibri"/>
          <w:lang w:val="pl-PL"/>
        </w:rPr>
        <w:t>.</w:t>
      </w:r>
    </w:p>
    <w:p w14:paraId="2CACD126" w14:textId="3E95CDB7" w:rsidR="00930473" w:rsidRPr="00930473" w:rsidRDefault="00930473" w:rsidP="00930473">
      <w:pPr>
        <w:pStyle w:val="Legenda"/>
        <w:keepNext/>
        <w:rPr>
          <w:b/>
          <w:i w:val="0"/>
          <w:color w:val="auto"/>
          <w:lang w:val="pl-PL"/>
        </w:rPr>
      </w:pPr>
      <w:bookmarkStart w:id="44" w:name="_Toc486537968"/>
      <w:r w:rsidRPr="00930473">
        <w:rPr>
          <w:b/>
          <w:i w:val="0"/>
          <w:color w:val="auto"/>
          <w:lang w:val="pl-PL"/>
        </w:rPr>
        <w:t xml:space="preserve">Tabela </w:t>
      </w:r>
      <w:r w:rsidRPr="00930473">
        <w:rPr>
          <w:b/>
          <w:i w:val="0"/>
          <w:color w:val="auto"/>
        </w:rPr>
        <w:fldChar w:fldCharType="begin"/>
      </w:r>
      <w:r w:rsidRPr="00930473">
        <w:rPr>
          <w:b/>
          <w:i w:val="0"/>
          <w:color w:val="auto"/>
          <w:lang w:val="pl-PL"/>
        </w:rPr>
        <w:instrText xml:space="preserve"> SEQ Tabela \* ARABIC </w:instrText>
      </w:r>
      <w:r w:rsidRPr="00930473">
        <w:rPr>
          <w:b/>
          <w:i w:val="0"/>
          <w:color w:val="auto"/>
        </w:rPr>
        <w:fldChar w:fldCharType="separate"/>
      </w:r>
      <w:r w:rsidR="005C7285">
        <w:rPr>
          <w:b/>
          <w:i w:val="0"/>
          <w:noProof/>
          <w:color w:val="auto"/>
          <w:lang w:val="pl-PL"/>
        </w:rPr>
        <w:t>5</w:t>
      </w:r>
      <w:r w:rsidRPr="00930473">
        <w:rPr>
          <w:b/>
          <w:i w:val="0"/>
          <w:color w:val="auto"/>
        </w:rPr>
        <w:fldChar w:fldCharType="end"/>
      </w:r>
      <w:r w:rsidRPr="00930473">
        <w:rPr>
          <w:b/>
          <w:i w:val="0"/>
          <w:color w:val="auto"/>
          <w:lang w:val="pl-PL"/>
        </w:rPr>
        <w:t xml:space="preserve"> Czynniki przyspieszające postęp </w:t>
      </w:r>
      <w:proofErr w:type="spellStart"/>
      <w:r w:rsidRPr="00930473">
        <w:rPr>
          <w:b/>
          <w:i w:val="0"/>
          <w:color w:val="auto"/>
          <w:lang w:val="pl-PL"/>
        </w:rPr>
        <w:t>PChN</w:t>
      </w:r>
      <w:bookmarkEnd w:id="44"/>
      <w:proofErr w:type="spellEnd"/>
    </w:p>
    <w:tbl>
      <w:tblPr>
        <w:tblStyle w:val="Tabela-Siatka"/>
        <w:tblW w:w="9072"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4536"/>
      </w:tblGrid>
      <w:tr w:rsidR="00AC52A2" w:rsidRPr="00A46853" w14:paraId="477EC646" w14:textId="77777777" w:rsidTr="00AC52A2">
        <w:tc>
          <w:tcPr>
            <w:tcW w:w="9072" w:type="dxa"/>
            <w:gridSpan w:val="2"/>
            <w:shd w:val="clear" w:color="auto" w:fill="FFE600"/>
            <w:vAlign w:val="center"/>
          </w:tcPr>
          <w:p w14:paraId="7CE0648F" w14:textId="77777777" w:rsidR="00AC52A2" w:rsidRPr="008C32D8" w:rsidRDefault="00AC52A2" w:rsidP="00AC52A2">
            <w:pPr>
              <w:pStyle w:val="EYBulletedList1"/>
              <w:numPr>
                <w:ilvl w:val="0"/>
                <w:numId w:val="0"/>
              </w:numPr>
              <w:spacing w:beforeLines="20" w:before="48" w:afterLines="20" w:after="48"/>
              <w:ind w:left="288" w:hanging="288"/>
              <w:rPr>
                <w:b/>
                <w:sz w:val="18"/>
                <w:szCs w:val="18"/>
                <w:lang w:val="pl-PL"/>
              </w:rPr>
            </w:pPr>
            <w:r w:rsidRPr="00EA3DA5">
              <w:rPr>
                <w:rFonts w:eastAsia="Calibri"/>
                <w:b/>
                <w:sz w:val="18"/>
                <w:szCs w:val="18"/>
                <w:lang w:val="pl-PL"/>
              </w:rPr>
              <w:t xml:space="preserve">Czynniki </w:t>
            </w:r>
            <w:r>
              <w:rPr>
                <w:rFonts w:eastAsia="Calibri"/>
                <w:b/>
                <w:sz w:val="18"/>
                <w:szCs w:val="18"/>
                <w:lang w:val="pl-PL"/>
              </w:rPr>
              <w:t>przyspieszające postęp</w:t>
            </w:r>
            <w:r w:rsidRPr="00EA3DA5">
              <w:rPr>
                <w:rFonts w:eastAsia="Calibri"/>
                <w:b/>
                <w:sz w:val="18"/>
                <w:szCs w:val="18"/>
                <w:lang w:val="pl-PL"/>
              </w:rPr>
              <w:t xml:space="preserve"> </w:t>
            </w:r>
            <w:proofErr w:type="spellStart"/>
            <w:r w:rsidRPr="00EA3DA5">
              <w:rPr>
                <w:rFonts w:eastAsia="Calibri"/>
                <w:b/>
                <w:sz w:val="18"/>
                <w:szCs w:val="18"/>
                <w:lang w:val="pl-PL"/>
              </w:rPr>
              <w:t>PChN</w:t>
            </w:r>
            <w:proofErr w:type="spellEnd"/>
          </w:p>
        </w:tc>
      </w:tr>
      <w:tr w:rsidR="00576D80" w:rsidRPr="00A46853" w14:paraId="2F6C8D4C" w14:textId="77777777" w:rsidTr="00AC52A2">
        <w:tc>
          <w:tcPr>
            <w:tcW w:w="4536" w:type="dxa"/>
            <w:shd w:val="clear" w:color="auto" w:fill="F2F2F2" w:themeFill="background1" w:themeFillShade="F2"/>
            <w:vAlign w:val="center"/>
          </w:tcPr>
          <w:p w14:paraId="65893CE0" w14:textId="77777777" w:rsidR="00576D80" w:rsidRPr="008C32D8" w:rsidRDefault="00576D80" w:rsidP="00130CE2">
            <w:pPr>
              <w:spacing w:before="60" w:after="60" w:line="240" w:lineRule="auto"/>
              <w:jc w:val="left"/>
              <w:rPr>
                <w:rFonts w:eastAsia="Calibri"/>
                <w:b/>
                <w:sz w:val="18"/>
                <w:szCs w:val="18"/>
                <w:lang w:val="pl-PL"/>
              </w:rPr>
            </w:pPr>
            <w:r w:rsidRPr="008C32D8">
              <w:rPr>
                <w:rFonts w:eastAsia="Calibri"/>
                <w:b/>
                <w:sz w:val="18"/>
                <w:szCs w:val="18"/>
                <w:lang w:val="pl-PL"/>
              </w:rPr>
              <w:t>Modyfikowalne</w:t>
            </w:r>
          </w:p>
        </w:tc>
        <w:tc>
          <w:tcPr>
            <w:tcW w:w="4536" w:type="dxa"/>
            <w:shd w:val="clear" w:color="auto" w:fill="F2F2F2" w:themeFill="background1" w:themeFillShade="F2"/>
            <w:vAlign w:val="center"/>
          </w:tcPr>
          <w:p w14:paraId="5CF14839" w14:textId="77777777" w:rsidR="00576D80" w:rsidRPr="008C32D8" w:rsidRDefault="00576D80" w:rsidP="00130CE2">
            <w:pPr>
              <w:pStyle w:val="EYBulletedList1"/>
              <w:numPr>
                <w:ilvl w:val="0"/>
                <w:numId w:val="0"/>
              </w:numPr>
              <w:spacing w:beforeLines="20" w:before="48" w:afterLines="20" w:after="48"/>
              <w:ind w:left="288" w:hanging="288"/>
              <w:rPr>
                <w:b/>
                <w:sz w:val="18"/>
                <w:szCs w:val="18"/>
                <w:lang w:val="pl-PL"/>
              </w:rPr>
            </w:pPr>
            <w:r w:rsidRPr="008C32D8">
              <w:rPr>
                <w:b/>
                <w:sz w:val="18"/>
                <w:szCs w:val="18"/>
                <w:lang w:val="pl-PL"/>
              </w:rPr>
              <w:t>Niemodyfikowalne</w:t>
            </w:r>
          </w:p>
        </w:tc>
      </w:tr>
      <w:tr w:rsidR="00576D80" w:rsidRPr="00C57815" w14:paraId="4A508C0C" w14:textId="77777777" w:rsidTr="00135421">
        <w:tc>
          <w:tcPr>
            <w:tcW w:w="4536" w:type="dxa"/>
            <w:shd w:val="clear" w:color="auto" w:fill="auto"/>
          </w:tcPr>
          <w:p w14:paraId="7275673C"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wielkość białkomoczu</w:t>
            </w:r>
          </w:p>
          <w:p w14:paraId="1D0665B4"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małe stężenie albuminy w osoczu</w:t>
            </w:r>
          </w:p>
          <w:p w14:paraId="19787C71"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nadciśnienie tętnicze</w:t>
            </w:r>
          </w:p>
          <w:p w14:paraId="3E4AAA8E"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hiperglikemia</w:t>
            </w:r>
          </w:p>
          <w:p w14:paraId="517DE991" w14:textId="77777777" w:rsidR="00576D80" w:rsidRPr="00576D80" w:rsidRDefault="00576D80" w:rsidP="00F84B72">
            <w:pPr>
              <w:pStyle w:val="EYBulletedList1"/>
              <w:numPr>
                <w:ilvl w:val="0"/>
                <w:numId w:val="11"/>
              </w:numPr>
              <w:spacing w:beforeLines="20" w:before="48" w:afterLines="20" w:after="48"/>
              <w:rPr>
                <w:sz w:val="18"/>
                <w:szCs w:val="18"/>
                <w:lang w:val="pl-PL"/>
              </w:rPr>
            </w:pPr>
            <w:proofErr w:type="spellStart"/>
            <w:r w:rsidRPr="00576D80">
              <w:rPr>
                <w:sz w:val="18"/>
                <w:szCs w:val="18"/>
                <w:lang w:val="pl-PL"/>
              </w:rPr>
              <w:t>hiperlipidemia</w:t>
            </w:r>
            <w:proofErr w:type="spellEnd"/>
          </w:p>
          <w:p w14:paraId="667653AA"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niedokrwistość</w:t>
            </w:r>
          </w:p>
          <w:p w14:paraId="6474817D"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 xml:space="preserve">kwasica </w:t>
            </w:r>
            <w:proofErr w:type="spellStart"/>
            <w:r w:rsidRPr="00576D80">
              <w:rPr>
                <w:sz w:val="18"/>
                <w:szCs w:val="18"/>
                <w:lang w:val="pl-PL"/>
              </w:rPr>
              <w:t>nieoddechowa</w:t>
            </w:r>
            <w:proofErr w:type="spellEnd"/>
          </w:p>
          <w:p w14:paraId="6498855B" w14:textId="77777777" w:rsid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palenie tytoniu</w:t>
            </w:r>
          </w:p>
          <w:p w14:paraId="4A40D1F2" w14:textId="77777777" w:rsidR="00C3682D" w:rsidRPr="00112946" w:rsidRDefault="00C3682D" w:rsidP="00F84B72">
            <w:pPr>
              <w:pStyle w:val="EYBulletedList1"/>
              <w:numPr>
                <w:ilvl w:val="0"/>
                <w:numId w:val="11"/>
              </w:numPr>
              <w:spacing w:beforeLines="20" w:before="48" w:afterLines="20" w:after="48"/>
              <w:rPr>
                <w:sz w:val="18"/>
                <w:szCs w:val="18"/>
                <w:lang w:val="pl-PL"/>
              </w:rPr>
            </w:pPr>
            <w:r>
              <w:rPr>
                <w:sz w:val="18"/>
                <w:szCs w:val="18"/>
                <w:lang w:val="pl-PL"/>
              </w:rPr>
              <w:t>otyłość</w:t>
            </w:r>
          </w:p>
        </w:tc>
        <w:tc>
          <w:tcPr>
            <w:tcW w:w="4536" w:type="dxa"/>
            <w:shd w:val="clear" w:color="auto" w:fill="auto"/>
          </w:tcPr>
          <w:p w14:paraId="33C2FB3E"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rodzaj choroby podstawowej</w:t>
            </w:r>
          </w:p>
          <w:p w14:paraId="5A2D5A8E"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niskie wyjściowe GFR</w:t>
            </w:r>
          </w:p>
          <w:p w14:paraId="18F7DC0B" w14:textId="77777777" w:rsidR="00576D80" w:rsidRP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płeć</w:t>
            </w:r>
          </w:p>
          <w:p w14:paraId="77C15F65" w14:textId="77777777" w:rsidR="00576D80" w:rsidRDefault="00576D80" w:rsidP="00F84B72">
            <w:pPr>
              <w:pStyle w:val="EYBulletedList1"/>
              <w:numPr>
                <w:ilvl w:val="0"/>
                <w:numId w:val="11"/>
              </w:numPr>
              <w:spacing w:beforeLines="20" w:before="48" w:afterLines="20" w:after="48"/>
              <w:rPr>
                <w:sz w:val="18"/>
                <w:szCs w:val="18"/>
                <w:lang w:val="pl-PL"/>
              </w:rPr>
            </w:pPr>
            <w:r w:rsidRPr="00576D80">
              <w:rPr>
                <w:sz w:val="18"/>
                <w:szCs w:val="18"/>
                <w:lang w:val="pl-PL"/>
              </w:rPr>
              <w:t>wiek</w:t>
            </w:r>
          </w:p>
          <w:p w14:paraId="507597E2" w14:textId="77777777" w:rsidR="00C3682D" w:rsidRPr="00C3682D" w:rsidRDefault="00C3682D" w:rsidP="00F84B72">
            <w:pPr>
              <w:pStyle w:val="EYBulletedList1"/>
              <w:numPr>
                <w:ilvl w:val="0"/>
                <w:numId w:val="11"/>
              </w:numPr>
              <w:spacing w:beforeLines="20" w:before="48" w:afterLines="20" w:after="48"/>
              <w:rPr>
                <w:sz w:val="18"/>
                <w:szCs w:val="18"/>
                <w:lang w:val="pl-PL"/>
              </w:rPr>
            </w:pPr>
            <w:r>
              <w:rPr>
                <w:sz w:val="18"/>
                <w:szCs w:val="18"/>
                <w:lang w:val="pl-PL"/>
              </w:rPr>
              <w:t>o</w:t>
            </w:r>
            <w:r w:rsidRPr="00C3682D">
              <w:rPr>
                <w:sz w:val="18"/>
                <w:szCs w:val="18"/>
                <w:lang w:val="pl-PL"/>
              </w:rPr>
              <w:t xml:space="preserve">bciążenie historią chorób </w:t>
            </w:r>
            <w:r>
              <w:rPr>
                <w:sz w:val="18"/>
                <w:szCs w:val="18"/>
                <w:lang w:val="pl-PL"/>
              </w:rPr>
              <w:t>sercowo-naczyniowych</w:t>
            </w:r>
            <w:r w:rsidRPr="00C3682D">
              <w:rPr>
                <w:sz w:val="18"/>
                <w:szCs w:val="18"/>
                <w:lang w:val="pl-PL"/>
              </w:rPr>
              <w:t xml:space="preserve"> w wywiadzie rodzinnym</w:t>
            </w:r>
          </w:p>
        </w:tc>
      </w:tr>
    </w:tbl>
    <w:p w14:paraId="0F198520" w14:textId="77777777" w:rsidR="00576D80" w:rsidRPr="00C3682D" w:rsidRDefault="00576D80" w:rsidP="00576D80">
      <w:pPr>
        <w:pStyle w:val="EYBulletedList1"/>
        <w:numPr>
          <w:ilvl w:val="0"/>
          <w:numId w:val="0"/>
        </w:numPr>
        <w:spacing w:line="360" w:lineRule="auto"/>
        <w:jc w:val="both"/>
        <w:rPr>
          <w:sz w:val="18"/>
          <w:szCs w:val="18"/>
        </w:rPr>
      </w:pPr>
      <w:r w:rsidRPr="00576D80">
        <w:rPr>
          <w:rFonts w:eastAsia="Calibri"/>
          <w:sz w:val="18"/>
          <w:szCs w:val="18"/>
          <w:lang w:val="pl-PL"/>
        </w:rPr>
        <w:t xml:space="preserve">Źródło: </w:t>
      </w:r>
      <w:r w:rsidR="00C3682D">
        <w:rPr>
          <w:rFonts w:eastAsia="Calibri"/>
          <w:sz w:val="18"/>
          <w:szCs w:val="18"/>
          <w:lang w:val="pl-PL"/>
        </w:rPr>
        <w:t xml:space="preserve">1. </w:t>
      </w:r>
      <w:r w:rsidRPr="00576D80">
        <w:rPr>
          <w:sz w:val="18"/>
          <w:szCs w:val="18"/>
          <w:lang w:val="pl-PL"/>
        </w:rPr>
        <w:t>Pod red. nauk. Gajewski P., Interna Szczeklika, Medycyna Praktyczna, 2016, s. 1511-12</w:t>
      </w:r>
      <w:r w:rsidR="00C3682D">
        <w:rPr>
          <w:sz w:val="18"/>
          <w:szCs w:val="18"/>
          <w:lang w:val="pl-PL"/>
        </w:rPr>
        <w:br/>
        <w:t xml:space="preserve">2. </w:t>
      </w:r>
      <w:r w:rsidR="00C3682D" w:rsidRPr="00A875F2">
        <w:rPr>
          <w:sz w:val="18"/>
        </w:rPr>
        <w:t>KDIGO 2012 Clinical Practic</w:t>
      </w:r>
      <w:r w:rsidR="00C3682D" w:rsidRPr="00BE6340">
        <w:rPr>
          <w:sz w:val="18"/>
        </w:rPr>
        <w:t>e Guideline for the Evaluation and Management of Chronic Kidney Disease, Official Journal of the International Society of Nephrology, 2013</w:t>
      </w:r>
      <w:r w:rsidR="00C3682D">
        <w:rPr>
          <w:sz w:val="18"/>
        </w:rPr>
        <w:t>, s. 9</w:t>
      </w:r>
    </w:p>
    <w:p w14:paraId="6114CB27" w14:textId="1401C039" w:rsidR="00477B20" w:rsidRPr="00477B20" w:rsidRDefault="00477B20" w:rsidP="00F90D81">
      <w:pPr>
        <w:rPr>
          <w:lang w:val="pl-PL"/>
        </w:rPr>
      </w:pPr>
      <w:r>
        <w:rPr>
          <w:lang w:val="pl-PL"/>
        </w:rPr>
        <w:t xml:space="preserve">Progresję choroby należy monitorować przynajmniej raz do roku poprzez pomiar GFR i albuminurii u pacjentów z </w:t>
      </w:r>
      <w:proofErr w:type="spellStart"/>
      <w:r>
        <w:rPr>
          <w:lang w:val="pl-PL"/>
        </w:rPr>
        <w:t>PChN</w:t>
      </w:r>
      <w:proofErr w:type="spellEnd"/>
      <w:r>
        <w:rPr>
          <w:lang w:val="pl-PL"/>
        </w:rPr>
        <w:t>. W przypadku</w:t>
      </w:r>
      <w:r w:rsidR="00930473">
        <w:rPr>
          <w:lang w:val="pl-PL"/>
        </w:rPr>
        <w:t xml:space="preserve"> chorych w bardziej zaawansowanych </w:t>
      </w:r>
      <w:r w:rsidR="00112946">
        <w:rPr>
          <w:lang w:val="pl-PL"/>
        </w:rPr>
        <w:t>stadiach</w:t>
      </w:r>
      <w:r w:rsidR="00930473">
        <w:rPr>
          <w:lang w:val="pl-PL"/>
        </w:rPr>
        <w:t xml:space="preserve"> choroby i narażonych na jej progresję oraz w przypadku</w:t>
      </w:r>
      <w:r w:rsidR="00CE1316">
        <w:rPr>
          <w:lang w:val="pl-PL"/>
        </w:rPr>
        <w:t>,</w:t>
      </w:r>
      <w:r w:rsidR="00930473">
        <w:rPr>
          <w:lang w:val="pl-PL"/>
        </w:rPr>
        <w:t xml:space="preserve"> kiedy pomiar postępu choroby miałby wpływ na decyzję terapeutyczną, należy dokonywać pomiarów GFR i albuminurii częściej niż rokrocznie</w:t>
      </w:r>
      <w:r w:rsidR="00CE1316">
        <w:rPr>
          <w:lang w:val="pl-PL"/>
        </w:rPr>
        <w:t xml:space="preserve"> (od dwóch do powyżej czterech)</w:t>
      </w:r>
      <w:r w:rsidR="00CE1316" w:rsidRPr="00DD02B0">
        <w:rPr>
          <w:rStyle w:val="Odwoanieprzypisudolnego"/>
          <w:i/>
          <w:sz w:val="22"/>
          <w:szCs w:val="22"/>
          <w:lang w:val="pl-PL"/>
        </w:rPr>
        <w:footnoteReference w:id="20"/>
      </w:r>
      <w:r w:rsidR="00930473" w:rsidRPr="00DD02B0">
        <w:rPr>
          <w:szCs w:val="22"/>
          <w:lang w:val="pl-PL"/>
        </w:rPr>
        <w:t>.</w:t>
      </w:r>
      <w:r w:rsidR="00930473">
        <w:rPr>
          <w:lang w:val="pl-PL"/>
        </w:rPr>
        <w:t xml:space="preserve"> Rekomendacje KDIGO w zakresie częstości monitorowania postępu </w:t>
      </w:r>
      <w:proofErr w:type="spellStart"/>
      <w:r w:rsidR="00930473">
        <w:rPr>
          <w:lang w:val="pl-PL"/>
        </w:rPr>
        <w:t>PChN</w:t>
      </w:r>
      <w:proofErr w:type="spellEnd"/>
      <w:r w:rsidR="00930473">
        <w:rPr>
          <w:lang w:val="pl-PL"/>
        </w:rPr>
        <w:t xml:space="preserve"> przedstawiono w tabeli </w:t>
      </w:r>
      <w:r w:rsidR="001E35A3">
        <w:rPr>
          <w:lang w:val="pl-PL"/>
        </w:rPr>
        <w:t>6</w:t>
      </w:r>
      <w:r w:rsidR="00930473">
        <w:rPr>
          <w:lang w:val="pl-PL"/>
        </w:rPr>
        <w:t>.</w:t>
      </w:r>
    </w:p>
    <w:p w14:paraId="75C28FA6" w14:textId="2237FCE9" w:rsidR="00477B20" w:rsidRPr="00D720F3" w:rsidRDefault="00477B20" w:rsidP="00477B20">
      <w:pPr>
        <w:pStyle w:val="Legenda"/>
        <w:keepNext/>
        <w:rPr>
          <w:b/>
          <w:i w:val="0"/>
          <w:color w:val="auto"/>
          <w:lang w:val="pl-PL"/>
        </w:rPr>
      </w:pPr>
      <w:bookmarkStart w:id="45" w:name="_Toc486537969"/>
      <w:r w:rsidRPr="00D720F3">
        <w:rPr>
          <w:b/>
          <w:i w:val="0"/>
          <w:color w:val="auto"/>
          <w:lang w:val="pl-PL"/>
        </w:rPr>
        <w:t xml:space="preserve">Tabela </w:t>
      </w:r>
      <w:r w:rsidRPr="007B1162">
        <w:rPr>
          <w:b/>
          <w:i w:val="0"/>
          <w:color w:val="auto"/>
        </w:rPr>
        <w:fldChar w:fldCharType="begin"/>
      </w:r>
      <w:r w:rsidRPr="00D720F3">
        <w:rPr>
          <w:b/>
          <w:i w:val="0"/>
          <w:color w:val="auto"/>
          <w:lang w:val="pl-PL"/>
        </w:rPr>
        <w:instrText xml:space="preserve"> SEQ Tabela \* ARABIC </w:instrText>
      </w:r>
      <w:r w:rsidRPr="007B1162">
        <w:rPr>
          <w:b/>
          <w:i w:val="0"/>
          <w:color w:val="auto"/>
        </w:rPr>
        <w:fldChar w:fldCharType="separate"/>
      </w:r>
      <w:r w:rsidR="005C7285">
        <w:rPr>
          <w:b/>
          <w:i w:val="0"/>
          <w:noProof/>
          <w:color w:val="auto"/>
          <w:lang w:val="pl-PL"/>
        </w:rPr>
        <w:t>6</w:t>
      </w:r>
      <w:r w:rsidRPr="007B1162">
        <w:rPr>
          <w:b/>
          <w:i w:val="0"/>
          <w:color w:val="auto"/>
        </w:rPr>
        <w:fldChar w:fldCharType="end"/>
      </w:r>
      <w:r w:rsidRPr="00D720F3">
        <w:rPr>
          <w:b/>
          <w:i w:val="0"/>
          <w:color w:val="auto"/>
          <w:lang w:val="pl-PL"/>
        </w:rPr>
        <w:t xml:space="preserve"> </w:t>
      </w:r>
      <w:r>
        <w:rPr>
          <w:b/>
          <w:i w:val="0"/>
          <w:color w:val="auto"/>
          <w:lang w:val="pl-PL"/>
        </w:rPr>
        <w:t xml:space="preserve">Zalecenia </w:t>
      </w:r>
      <w:r w:rsidR="00930473">
        <w:rPr>
          <w:b/>
          <w:i w:val="0"/>
          <w:color w:val="auto"/>
          <w:lang w:val="pl-PL"/>
        </w:rPr>
        <w:t xml:space="preserve">KDIGO 2012 </w:t>
      </w:r>
      <w:r>
        <w:rPr>
          <w:b/>
          <w:i w:val="0"/>
          <w:color w:val="auto"/>
          <w:lang w:val="pl-PL"/>
        </w:rPr>
        <w:t xml:space="preserve">w zakresie częstości monitorowania postępu choroby </w:t>
      </w:r>
      <w:r w:rsidRPr="00D720F3">
        <w:rPr>
          <w:b/>
          <w:i w:val="0"/>
          <w:color w:val="auto"/>
          <w:lang w:val="pl-PL"/>
        </w:rPr>
        <w:t>w zależności od przynależności do kategorii G i A</w:t>
      </w:r>
      <w:bookmarkEnd w:id="45"/>
      <w:r w:rsidR="00930473">
        <w:rPr>
          <w:b/>
          <w:i w:val="0"/>
          <w:color w:val="auto"/>
          <w:lang w:val="pl-PL"/>
        </w:rPr>
        <w:t xml:space="preserve"> </w:t>
      </w:r>
    </w:p>
    <w:tbl>
      <w:tblPr>
        <w:tblStyle w:val="Tabela-Siatka"/>
        <w:tblW w:w="9031" w:type="dxa"/>
        <w:tblBorders>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6"/>
        <w:gridCol w:w="1985"/>
        <w:gridCol w:w="1984"/>
        <w:gridCol w:w="1845"/>
        <w:gridCol w:w="1941"/>
      </w:tblGrid>
      <w:tr w:rsidR="00477B20" w:rsidRPr="00182ABD" w14:paraId="0CD80372" w14:textId="77777777" w:rsidTr="004831D8">
        <w:tc>
          <w:tcPr>
            <w:tcW w:w="3261" w:type="dxa"/>
            <w:gridSpan w:val="2"/>
            <w:vMerge w:val="restart"/>
            <w:shd w:val="clear" w:color="auto" w:fill="auto"/>
            <w:vAlign w:val="center"/>
          </w:tcPr>
          <w:p w14:paraId="440DD681" w14:textId="77777777" w:rsidR="00477B20" w:rsidRPr="00A821E4" w:rsidRDefault="00477B20" w:rsidP="004831D8">
            <w:pPr>
              <w:spacing w:before="60" w:after="60" w:line="240" w:lineRule="auto"/>
              <w:jc w:val="left"/>
              <w:rPr>
                <w:rFonts w:eastAsia="Calibri"/>
                <w:b/>
                <w:sz w:val="18"/>
                <w:szCs w:val="18"/>
                <w:lang w:val="pl-PL"/>
              </w:rPr>
            </w:pPr>
          </w:p>
        </w:tc>
        <w:tc>
          <w:tcPr>
            <w:tcW w:w="5770" w:type="dxa"/>
            <w:gridSpan w:val="3"/>
            <w:shd w:val="clear" w:color="auto" w:fill="FFE600"/>
            <w:vAlign w:val="center"/>
          </w:tcPr>
          <w:p w14:paraId="61EAEECC" w14:textId="77777777" w:rsidR="00477B20" w:rsidRPr="00EA3DA5" w:rsidRDefault="00477B20" w:rsidP="004831D8">
            <w:pPr>
              <w:spacing w:beforeLines="20" w:before="48" w:afterLines="20" w:after="48" w:line="240" w:lineRule="auto"/>
              <w:jc w:val="center"/>
              <w:rPr>
                <w:b/>
                <w:sz w:val="18"/>
                <w:szCs w:val="18"/>
                <w:lang w:val="pl-PL"/>
              </w:rPr>
            </w:pPr>
            <w:r w:rsidRPr="00EA3DA5">
              <w:rPr>
                <w:b/>
                <w:sz w:val="18"/>
                <w:szCs w:val="18"/>
                <w:lang w:val="pl-PL"/>
              </w:rPr>
              <w:t>Kategorie albuminurii</w:t>
            </w:r>
          </w:p>
        </w:tc>
      </w:tr>
      <w:tr w:rsidR="00477B20" w:rsidRPr="0002448D" w14:paraId="7BDF6A25" w14:textId="77777777" w:rsidTr="004831D8">
        <w:tc>
          <w:tcPr>
            <w:tcW w:w="3261" w:type="dxa"/>
            <w:gridSpan w:val="2"/>
            <w:vMerge/>
            <w:shd w:val="clear" w:color="auto" w:fill="auto"/>
            <w:vAlign w:val="center"/>
          </w:tcPr>
          <w:p w14:paraId="5608DF24" w14:textId="77777777" w:rsidR="00477B20" w:rsidRDefault="00477B20" w:rsidP="004831D8">
            <w:pPr>
              <w:spacing w:before="60" w:after="60" w:line="240" w:lineRule="auto"/>
              <w:jc w:val="center"/>
              <w:rPr>
                <w:rFonts w:eastAsia="Calibri"/>
                <w:sz w:val="18"/>
                <w:szCs w:val="18"/>
                <w:lang w:val="pl-PL"/>
              </w:rPr>
            </w:pPr>
          </w:p>
        </w:tc>
        <w:tc>
          <w:tcPr>
            <w:tcW w:w="1984" w:type="dxa"/>
            <w:tcBorders>
              <w:bottom w:val="single" w:sz="4" w:space="0" w:color="808080" w:themeColor="background1" w:themeShade="80"/>
            </w:tcBorders>
            <w:shd w:val="clear" w:color="auto" w:fill="auto"/>
            <w:vAlign w:val="center"/>
          </w:tcPr>
          <w:p w14:paraId="2D6540CB" w14:textId="77777777" w:rsidR="00477B20" w:rsidRPr="00930473" w:rsidRDefault="00477B20" w:rsidP="004831D8">
            <w:pPr>
              <w:spacing w:beforeLines="20" w:before="48" w:afterLines="20" w:after="48" w:line="240" w:lineRule="auto"/>
              <w:jc w:val="center"/>
              <w:rPr>
                <w:b/>
                <w:sz w:val="18"/>
                <w:szCs w:val="18"/>
                <w:lang w:val="pl-PL"/>
              </w:rPr>
            </w:pPr>
            <w:r w:rsidRPr="00930473">
              <w:rPr>
                <w:b/>
                <w:sz w:val="18"/>
                <w:szCs w:val="18"/>
                <w:lang w:val="pl-PL"/>
              </w:rPr>
              <w:t>A1</w:t>
            </w:r>
          </w:p>
        </w:tc>
        <w:tc>
          <w:tcPr>
            <w:tcW w:w="1845" w:type="dxa"/>
            <w:tcBorders>
              <w:bottom w:val="single" w:sz="4" w:space="0" w:color="808080" w:themeColor="background1" w:themeShade="80"/>
            </w:tcBorders>
            <w:shd w:val="clear" w:color="auto" w:fill="auto"/>
            <w:vAlign w:val="center"/>
          </w:tcPr>
          <w:p w14:paraId="207387FC" w14:textId="77777777" w:rsidR="00477B20" w:rsidRPr="00930473" w:rsidRDefault="00477B20" w:rsidP="004831D8">
            <w:pPr>
              <w:spacing w:beforeLines="20" w:before="48" w:afterLines="20" w:after="48" w:line="240" w:lineRule="auto"/>
              <w:jc w:val="center"/>
              <w:rPr>
                <w:b/>
                <w:sz w:val="18"/>
                <w:szCs w:val="18"/>
                <w:lang w:val="pl-PL"/>
              </w:rPr>
            </w:pPr>
            <w:r w:rsidRPr="00930473">
              <w:rPr>
                <w:b/>
                <w:sz w:val="18"/>
                <w:szCs w:val="18"/>
                <w:lang w:val="pl-PL"/>
              </w:rPr>
              <w:t>A2</w:t>
            </w:r>
          </w:p>
        </w:tc>
        <w:tc>
          <w:tcPr>
            <w:tcW w:w="1941" w:type="dxa"/>
            <w:tcBorders>
              <w:bottom w:val="single" w:sz="4" w:space="0" w:color="808080" w:themeColor="background1" w:themeShade="80"/>
            </w:tcBorders>
            <w:shd w:val="clear" w:color="auto" w:fill="auto"/>
            <w:vAlign w:val="center"/>
          </w:tcPr>
          <w:p w14:paraId="0B349907" w14:textId="77777777" w:rsidR="00477B20" w:rsidRPr="00930473" w:rsidRDefault="00477B20" w:rsidP="004831D8">
            <w:pPr>
              <w:spacing w:beforeLines="20" w:before="48" w:afterLines="20" w:after="48" w:line="240" w:lineRule="auto"/>
              <w:jc w:val="center"/>
              <w:rPr>
                <w:b/>
                <w:sz w:val="18"/>
                <w:szCs w:val="18"/>
                <w:lang w:val="pl-PL"/>
              </w:rPr>
            </w:pPr>
            <w:r w:rsidRPr="00930473">
              <w:rPr>
                <w:b/>
                <w:sz w:val="18"/>
                <w:szCs w:val="18"/>
                <w:lang w:val="pl-PL"/>
              </w:rPr>
              <w:t>A3</w:t>
            </w:r>
          </w:p>
        </w:tc>
      </w:tr>
      <w:tr w:rsidR="00477B20" w:rsidRPr="0002448D" w14:paraId="52B7E512" w14:textId="77777777" w:rsidTr="00CE1316">
        <w:tc>
          <w:tcPr>
            <w:tcW w:w="1276" w:type="dxa"/>
            <w:vMerge w:val="restart"/>
            <w:shd w:val="clear" w:color="auto" w:fill="FFE600"/>
            <w:vAlign w:val="center"/>
          </w:tcPr>
          <w:p w14:paraId="44F80E05" w14:textId="77777777" w:rsidR="00477B20" w:rsidRPr="00182ABD" w:rsidRDefault="00477B20" w:rsidP="004831D8">
            <w:pPr>
              <w:spacing w:before="60" w:after="60" w:line="240" w:lineRule="auto"/>
              <w:jc w:val="center"/>
              <w:rPr>
                <w:rFonts w:eastAsia="Calibri"/>
                <w:b/>
                <w:sz w:val="18"/>
                <w:szCs w:val="18"/>
                <w:lang w:val="pl-PL"/>
              </w:rPr>
            </w:pPr>
            <w:r w:rsidRPr="008C32D8">
              <w:rPr>
                <w:rFonts w:eastAsia="Calibri"/>
                <w:b/>
                <w:sz w:val="18"/>
                <w:szCs w:val="18"/>
                <w:lang w:val="pl-PL"/>
              </w:rPr>
              <w:t>Kategorie GFR</w:t>
            </w:r>
          </w:p>
        </w:tc>
        <w:tc>
          <w:tcPr>
            <w:tcW w:w="1985" w:type="dxa"/>
            <w:tcBorders>
              <w:right w:val="single" w:sz="4" w:space="0" w:color="808080" w:themeColor="background1" w:themeShade="80"/>
            </w:tcBorders>
            <w:shd w:val="clear" w:color="auto" w:fill="auto"/>
            <w:vAlign w:val="center"/>
          </w:tcPr>
          <w:p w14:paraId="7B3EA3F7" w14:textId="77777777" w:rsidR="00477B20" w:rsidRPr="00930473" w:rsidRDefault="00477B20" w:rsidP="004831D8">
            <w:pPr>
              <w:spacing w:before="60" w:after="60" w:line="240" w:lineRule="auto"/>
              <w:jc w:val="center"/>
              <w:rPr>
                <w:rFonts w:eastAsia="Calibri"/>
                <w:b/>
                <w:sz w:val="18"/>
                <w:szCs w:val="18"/>
                <w:lang w:val="pl-PL"/>
              </w:rPr>
            </w:pPr>
            <w:r w:rsidRPr="00930473">
              <w:rPr>
                <w:rFonts w:eastAsia="Calibri"/>
                <w:b/>
                <w:sz w:val="18"/>
                <w:szCs w:val="18"/>
                <w:lang w:val="pl-PL"/>
              </w:rPr>
              <w:t>G1</w:t>
            </w:r>
          </w:p>
        </w:tc>
        <w:tc>
          <w:tcPr>
            <w:tcW w:w="1984" w:type="dxa"/>
            <w:tcBorders>
              <w:top w:val="single" w:sz="4" w:space="0" w:color="808080" w:themeColor="background1" w:themeShade="80"/>
              <w:left w:val="single" w:sz="4" w:space="0" w:color="808080" w:themeColor="background1" w:themeShade="80"/>
              <w:bottom w:val="nil"/>
              <w:right w:val="nil"/>
            </w:tcBorders>
            <w:shd w:val="clear" w:color="auto" w:fill="auto"/>
            <w:vAlign w:val="center"/>
          </w:tcPr>
          <w:p w14:paraId="2D2525E1"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1*</w:t>
            </w:r>
          </w:p>
        </w:tc>
        <w:tc>
          <w:tcPr>
            <w:tcW w:w="1845" w:type="dxa"/>
            <w:tcBorders>
              <w:top w:val="single" w:sz="4" w:space="0" w:color="808080" w:themeColor="background1" w:themeShade="80"/>
              <w:left w:val="nil"/>
              <w:bottom w:val="nil"/>
              <w:right w:val="nil"/>
            </w:tcBorders>
            <w:shd w:val="clear" w:color="auto" w:fill="F2F2F2" w:themeFill="background1" w:themeFillShade="F2"/>
            <w:vAlign w:val="center"/>
          </w:tcPr>
          <w:p w14:paraId="052AF8FE"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1</w:t>
            </w:r>
          </w:p>
        </w:tc>
        <w:tc>
          <w:tcPr>
            <w:tcW w:w="1941" w:type="dxa"/>
            <w:tcBorders>
              <w:top w:val="single" w:sz="4" w:space="0" w:color="808080" w:themeColor="background1" w:themeShade="80"/>
              <w:left w:val="nil"/>
              <w:bottom w:val="nil"/>
              <w:right w:val="nil"/>
            </w:tcBorders>
            <w:shd w:val="clear" w:color="auto" w:fill="BFBFBF" w:themeFill="background1" w:themeFillShade="BF"/>
            <w:vAlign w:val="center"/>
          </w:tcPr>
          <w:p w14:paraId="5C9EC9FD"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2</w:t>
            </w:r>
          </w:p>
        </w:tc>
      </w:tr>
      <w:tr w:rsidR="00477B20" w:rsidRPr="0002448D" w14:paraId="1E91AD96" w14:textId="77777777" w:rsidTr="00CE1316">
        <w:tc>
          <w:tcPr>
            <w:tcW w:w="1276" w:type="dxa"/>
            <w:vMerge/>
            <w:shd w:val="clear" w:color="auto" w:fill="FFE600"/>
            <w:vAlign w:val="center"/>
          </w:tcPr>
          <w:p w14:paraId="73DBCE89" w14:textId="77777777" w:rsidR="00477B20" w:rsidRPr="0002448D" w:rsidRDefault="00477B20" w:rsidP="004831D8">
            <w:pPr>
              <w:spacing w:before="60" w:after="60" w:line="240" w:lineRule="auto"/>
              <w:jc w:val="center"/>
              <w:rPr>
                <w:rFonts w:eastAsia="Calibri"/>
                <w:sz w:val="18"/>
                <w:szCs w:val="18"/>
                <w:lang w:val="pl-PL"/>
              </w:rPr>
            </w:pPr>
          </w:p>
        </w:tc>
        <w:tc>
          <w:tcPr>
            <w:tcW w:w="1985" w:type="dxa"/>
            <w:tcBorders>
              <w:right w:val="single" w:sz="4" w:space="0" w:color="808080" w:themeColor="background1" w:themeShade="80"/>
            </w:tcBorders>
            <w:shd w:val="clear" w:color="auto" w:fill="auto"/>
            <w:vAlign w:val="center"/>
          </w:tcPr>
          <w:p w14:paraId="528F464B" w14:textId="77777777" w:rsidR="00477B20" w:rsidRPr="00930473" w:rsidRDefault="00477B20" w:rsidP="004831D8">
            <w:pPr>
              <w:spacing w:before="60" w:after="60" w:line="240" w:lineRule="auto"/>
              <w:jc w:val="center"/>
              <w:rPr>
                <w:rFonts w:eastAsia="Calibri"/>
                <w:b/>
                <w:sz w:val="18"/>
                <w:szCs w:val="18"/>
                <w:lang w:val="pl-PL"/>
              </w:rPr>
            </w:pPr>
            <w:r w:rsidRPr="00930473">
              <w:rPr>
                <w:rFonts w:eastAsia="Calibri"/>
                <w:b/>
                <w:sz w:val="18"/>
                <w:szCs w:val="18"/>
                <w:lang w:val="pl-PL"/>
              </w:rPr>
              <w:t>G2</w:t>
            </w:r>
          </w:p>
        </w:tc>
        <w:tc>
          <w:tcPr>
            <w:tcW w:w="1984" w:type="dxa"/>
            <w:tcBorders>
              <w:top w:val="nil"/>
              <w:left w:val="single" w:sz="4" w:space="0" w:color="808080" w:themeColor="background1" w:themeShade="80"/>
              <w:bottom w:val="nil"/>
              <w:right w:val="nil"/>
            </w:tcBorders>
            <w:shd w:val="clear" w:color="auto" w:fill="auto"/>
            <w:vAlign w:val="center"/>
          </w:tcPr>
          <w:p w14:paraId="5D889412"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1*</w:t>
            </w:r>
          </w:p>
        </w:tc>
        <w:tc>
          <w:tcPr>
            <w:tcW w:w="1845" w:type="dxa"/>
            <w:tcBorders>
              <w:top w:val="nil"/>
              <w:left w:val="nil"/>
              <w:bottom w:val="nil"/>
              <w:right w:val="nil"/>
            </w:tcBorders>
            <w:shd w:val="clear" w:color="auto" w:fill="F2F2F2" w:themeFill="background1" w:themeFillShade="F2"/>
            <w:vAlign w:val="center"/>
          </w:tcPr>
          <w:p w14:paraId="5BA554CC"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1</w:t>
            </w:r>
          </w:p>
        </w:tc>
        <w:tc>
          <w:tcPr>
            <w:tcW w:w="1941" w:type="dxa"/>
            <w:tcBorders>
              <w:top w:val="nil"/>
              <w:left w:val="nil"/>
              <w:bottom w:val="nil"/>
              <w:right w:val="nil"/>
            </w:tcBorders>
            <w:shd w:val="clear" w:color="auto" w:fill="BFBFBF" w:themeFill="background1" w:themeFillShade="BF"/>
            <w:vAlign w:val="center"/>
          </w:tcPr>
          <w:p w14:paraId="70B30347"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2</w:t>
            </w:r>
          </w:p>
        </w:tc>
      </w:tr>
      <w:tr w:rsidR="00477B20" w:rsidRPr="00AB565D" w14:paraId="5AF61F80" w14:textId="77777777" w:rsidTr="00CE1316">
        <w:tc>
          <w:tcPr>
            <w:tcW w:w="1276" w:type="dxa"/>
            <w:vMerge/>
            <w:shd w:val="clear" w:color="auto" w:fill="FFE600"/>
            <w:vAlign w:val="center"/>
          </w:tcPr>
          <w:p w14:paraId="55BD1175" w14:textId="77777777" w:rsidR="00477B20" w:rsidRPr="0002448D" w:rsidRDefault="00477B20" w:rsidP="004831D8">
            <w:pPr>
              <w:spacing w:before="60" w:after="60" w:line="240" w:lineRule="auto"/>
              <w:jc w:val="center"/>
              <w:rPr>
                <w:rFonts w:eastAsia="Calibri"/>
                <w:sz w:val="18"/>
                <w:szCs w:val="18"/>
                <w:lang w:val="pl-PL"/>
              </w:rPr>
            </w:pPr>
          </w:p>
        </w:tc>
        <w:tc>
          <w:tcPr>
            <w:tcW w:w="1985" w:type="dxa"/>
            <w:tcBorders>
              <w:right w:val="single" w:sz="4" w:space="0" w:color="808080" w:themeColor="background1" w:themeShade="80"/>
            </w:tcBorders>
            <w:shd w:val="clear" w:color="auto" w:fill="auto"/>
            <w:vAlign w:val="center"/>
          </w:tcPr>
          <w:p w14:paraId="515397A9" w14:textId="77777777" w:rsidR="00477B20" w:rsidRPr="00930473" w:rsidRDefault="00477B20" w:rsidP="004831D8">
            <w:pPr>
              <w:spacing w:before="60" w:after="60" w:line="240" w:lineRule="auto"/>
              <w:jc w:val="center"/>
              <w:rPr>
                <w:rFonts w:eastAsia="Calibri"/>
                <w:b/>
                <w:sz w:val="18"/>
                <w:szCs w:val="18"/>
                <w:lang w:val="pl-PL"/>
              </w:rPr>
            </w:pPr>
            <w:r w:rsidRPr="00930473">
              <w:rPr>
                <w:rFonts w:eastAsia="Calibri"/>
                <w:b/>
                <w:sz w:val="18"/>
                <w:szCs w:val="18"/>
                <w:lang w:val="pl-PL"/>
              </w:rPr>
              <w:t>G3a</w:t>
            </w:r>
          </w:p>
        </w:tc>
        <w:tc>
          <w:tcPr>
            <w:tcW w:w="1984" w:type="dxa"/>
            <w:tcBorders>
              <w:top w:val="nil"/>
              <w:left w:val="single" w:sz="4" w:space="0" w:color="808080" w:themeColor="background1" w:themeShade="80"/>
              <w:bottom w:val="nil"/>
              <w:right w:val="nil"/>
            </w:tcBorders>
            <w:shd w:val="clear" w:color="auto" w:fill="F2F2F2" w:themeFill="background1" w:themeFillShade="F2"/>
            <w:vAlign w:val="center"/>
          </w:tcPr>
          <w:p w14:paraId="0EEE064A"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1</w:t>
            </w:r>
          </w:p>
        </w:tc>
        <w:tc>
          <w:tcPr>
            <w:tcW w:w="1845" w:type="dxa"/>
            <w:tcBorders>
              <w:top w:val="nil"/>
              <w:left w:val="nil"/>
              <w:bottom w:val="nil"/>
              <w:right w:val="nil"/>
            </w:tcBorders>
            <w:shd w:val="clear" w:color="auto" w:fill="BFBFBF" w:themeFill="background1" w:themeFillShade="BF"/>
            <w:vAlign w:val="center"/>
          </w:tcPr>
          <w:p w14:paraId="5C73FAD4"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2</w:t>
            </w:r>
          </w:p>
        </w:tc>
        <w:tc>
          <w:tcPr>
            <w:tcW w:w="1941" w:type="dxa"/>
            <w:tcBorders>
              <w:top w:val="nil"/>
              <w:left w:val="nil"/>
              <w:bottom w:val="nil"/>
              <w:right w:val="nil"/>
            </w:tcBorders>
            <w:shd w:val="clear" w:color="auto" w:fill="808080" w:themeFill="background1" w:themeFillShade="80"/>
            <w:vAlign w:val="center"/>
          </w:tcPr>
          <w:p w14:paraId="686A8ED3"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3</w:t>
            </w:r>
          </w:p>
        </w:tc>
      </w:tr>
      <w:tr w:rsidR="00477B20" w:rsidRPr="00AB565D" w14:paraId="7AC39F80" w14:textId="77777777" w:rsidTr="00CE1316">
        <w:tc>
          <w:tcPr>
            <w:tcW w:w="1276" w:type="dxa"/>
            <w:vMerge/>
            <w:shd w:val="clear" w:color="auto" w:fill="FFE600"/>
            <w:vAlign w:val="center"/>
          </w:tcPr>
          <w:p w14:paraId="2F234C17" w14:textId="77777777" w:rsidR="00477B20" w:rsidRPr="0002448D" w:rsidRDefault="00477B20" w:rsidP="004831D8">
            <w:pPr>
              <w:spacing w:before="60" w:after="60" w:line="240" w:lineRule="auto"/>
              <w:jc w:val="center"/>
              <w:rPr>
                <w:rFonts w:eastAsia="Calibri"/>
                <w:sz w:val="18"/>
                <w:szCs w:val="18"/>
                <w:lang w:val="pl-PL"/>
              </w:rPr>
            </w:pPr>
          </w:p>
        </w:tc>
        <w:tc>
          <w:tcPr>
            <w:tcW w:w="1985" w:type="dxa"/>
            <w:tcBorders>
              <w:right w:val="single" w:sz="4" w:space="0" w:color="808080" w:themeColor="background1" w:themeShade="80"/>
            </w:tcBorders>
            <w:shd w:val="clear" w:color="auto" w:fill="auto"/>
            <w:vAlign w:val="center"/>
          </w:tcPr>
          <w:p w14:paraId="782AD8FB" w14:textId="77777777" w:rsidR="00477B20" w:rsidRPr="00930473" w:rsidRDefault="00477B20" w:rsidP="004831D8">
            <w:pPr>
              <w:spacing w:before="60" w:after="60" w:line="240" w:lineRule="auto"/>
              <w:jc w:val="center"/>
              <w:rPr>
                <w:rFonts w:eastAsia="Calibri"/>
                <w:b/>
                <w:sz w:val="18"/>
                <w:szCs w:val="18"/>
                <w:lang w:val="pl-PL"/>
              </w:rPr>
            </w:pPr>
            <w:r w:rsidRPr="00930473">
              <w:rPr>
                <w:rFonts w:eastAsia="Calibri"/>
                <w:b/>
                <w:sz w:val="18"/>
                <w:szCs w:val="18"/>
                <w:lang w:val="pl-PL"/>
              </w:rPr>
              <w:t>G3b</w:t>
            </w:r>
          </w:p>
        </w:tc>
        <w:tc>
          <w:tcPr>
            <w:tcW w:w="1984" w:type="dxa"/>
            <w:tcBorders>
              <w:top w:val="nil"/>
              <w:left w:val="single" w:sz="4" w:space="0" w:color="808080" w:themeColor="background1" w:themeShade="80"/>
              <w:bottom w:val="nil"/>
              <w:right w:val="nil"/>
            </w:tcBorders>
            <w:shd w:val="clear" w:color="auto" w:fill="BFBFBF" w:themeFill="background1" w:themeFillShade="BF"/>
            <w:vAlign w:val="center"/>
          </w:tcPr>
          <w:p w14:paraId="1ED31217"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2</w:t>
            </w:r>
          </w:p>
        </w:tc>
        <w:tc>
          <w:tcPr>
            <w:tcW w:w="1845" w:type="dxa"/>
            <w:tcBorders>
              <w:top w:val="nil"/>
              <w:left w:val="nil"/>
              <w:bottom w:val="nil"/>
              <w:right w:val="nil"/>
            </w:tcBorders>
            <w:shd w:val="clear" w:color="auto" w:fill="808080" w:themeFill="background1" w:themeFillShade="80"/>
            <w:vAlign w:val="center"/>
          </w:tcPr>
          <w:p w14:paraId="2269CE67"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3</w:t>
            </w:r>
          </w:p>
        </w:tc>
        <w:tc>
          <w:tcPr>
            <w:tcW w:w="1941" w:type="dxa"/>
            <w:tcBorders>
              <w:top w:val="nil"/>
              <w:left w:val="nil"/>
              <w:bottom w:val="nil"/>
              <w:right w:val="nil"/>
            </w:tcBorders>
            <w:shd w:val="clear" w:color="auto" w:fill="808080" w:themeFill="background1" w:themeFillShade="80"/>
            <w:vAlign w:val="center"/>
          </w:tcPr>
          <w:p w14:paraId="50201B49"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3</w:t>
            </w:r>
          </w:p>
        </w:tc>
      </w:tr>
      <w:tr w:rsidR="00477B20" w:rsidRPr="0002448D" w14:paraId="7EF94EE4" w14:textId="77777777" w:rsidTr="00CE1316">
        <w:tc>
          <w:tcPr>
            <w:tcW w:w="1276" w:type="dxa"/>
            <w:vMerge/>
            <w:shd w:val="clear" w:color="auto" w:fill="FFE600"/>
            <w:vAlign w:val="center"/>
          </w:tcPr>
          <w:p w14:paraId="3DCAE57D" w14:textId="77777777" w:rsidR="00477B20" w:rsidRPr="0002448D" w:rsidRDefault="00477B20" w:rsidP="004831D8">
            <w:pPr>
              <w:spacing w:before="60" w:after="60" w:line="240" w:lineRule="auto"/>
              <w:jc w:val="center"/>
              <w:rPr>
                <w:rFonts w:eastAsia="Calibri"/>
                <w:sz w:val="18"/>
                <w:szCs w:val="18"/>
                <w:lang w:val="pl-PL"/>
              </w:rPr>
            </w:pPr>
          </w:p>
        </w:tc>
        <w:tc>
          <w:tcPr>
            <w:tcW w:w="1985" w:type="dxa"/>
            <w:tcBorders>
              <w:right w:val="single" w:sz="4" w:space="0" w:color="808080" w:themeColor="background1" w:themeShade="80"/>
            </w:tcBorders>
            <w:shd w:val="clear" w:color="auto" w:fill="auto"/>
            <w:vAlign w:val="center"/>
          </w:tcPr>
          <w:p w14:paraId="2BD2CD25" w14:textId="77777777" w:rsidR="00477B20" w:rsidRPr="00930473" w:rsidRDefault="00477B20" w:rsidP="004831D8">
            <w:pPr>
              <w:spacing w:before="60" w:after="60" w:line="240" w:lineRule="auto"/>
              <w:jc w:val="center"/>
              <w:rPr>
                <w:rFonts w:eastAsia="Calibri"/>
                <w:b/>
                <w:sz w:val="18"/>
                <w:szCs w:val="18"/>
                <w:lang w:val="pl-PL"/>
              </w:rPr>
            </w:pPr>
            <w:r w:rsidRPr="00930473">
              <w:rPr>
                <w:rFonts w:eastAsia="Calibri"/>
                <w:b/>
                <w:sz w:val="18"/>
                <w:szCs w:val="18"/>
                <w:lang w:val="pl-PL"/>
              </w:rPr>
              <w:t>G4</w:t>
            </w:r>
          </w:p>
        </w:tc>
        <w:tc>
          <w:tcPr>
            <w:tcW w:w="1984" w:type="dxa"/>
            <w:tcBorders>
              <w:top w:val="nil"/>
              <w:left w:val="single" w:sz="4" w:space="0" w:color="808080" w:themeColor="background1" w:themeShade="80"/>
              <w:bottom w:val="nil"/>
              <w:right w:val="nil"/>
            </w:tcBorders>
            <w:shd w:val="clear" w:color="auto" w:fill="808080" w:themeFill="background1" w:themeFillShade="80"/>
            <w:vAlign w:val="center"/>
          </w:tcPr>
          <w:p w14:paraId="5114CB06"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3</w:t>
            </w:r>
          </w:p>
        </w:tc>
        <w:tc>
          <w:tcPr>
            <w:tcW w:w="1845" w:type="dxa"/>
            <w:tcBorders>
              <w:top w:val="nil"/>
              <w:left w:val="nil"/>
              <w:bottom w:val="nil"/>
              <w:right w:val="nil"/>
            </w:tcBorders>
            <w:shd w:val="clear" w:color="auto" w:fill="808080" w:themeFill="background1" w:themeFillShade="80"/>
            <w:vAlign w:val="center"/>
          </w:tcPr>
          <w:p w14:paraId="25BD8311" w14:textId="77777777" w:rsidR="00477B20" w:rsidRPr="007B1162" w:rsidRDefault="00CE1316" w:rsidP="00CE1316">
            <w:pPr>
              <w:spacing w:beforeLines="20" w:before="48" w:afterLines="20" w:after="48" w:line="240" w:lineRule="auto"/>
              <w:jc w:val="center"/>
              <w:rPr>
                <w:sz w:val="18"/>
                <w:szCs w:val="18"/>
                <w:lang w:val="pl-PL"/>
              </w:rPr>
            </w:pPr>
            <w:r>
              <w:rPr>
                <w:sz w:val="18"/>
                <w:szCs w:val="18"/>
                <w:lang w:val="pl-PL"/>
              </w:rPr>
              <w:t>3</w:t>
            </w:r>
          </w:p>
        </w:tc>
        <w:tc>
          <w:tcPr>
            <w:tcW w:w="1941" w:type="dxa"/>
            <w:tcBorders>
              <w:top w:val="nil"/>
              <w:left w:val="nil"/>
              <w:bottom w:val="nil"/>
              <w:right w:val="nil"/>
            </w:tcBorders>
            <w:shd w:val="clear" w:color="auto" w:fill="595959" w:themeFill="text1" w:themeFillTint="A6"/>
            <w:vAlign w:val="center"/>
          </w:tcPr>
          <w:p w14:paraId="7259ED80" w14:textId="77777777" w:rsidR="00477B20" w:rsidRPr="00CE1316" w:rsidRDefault="00CE1316" w:rsidP="00CE1316">
            <w:pPr>
              <w:spacing w:beforeLines="20" w:before="48" w:afterLines="20" w:after="48" w:line="240" w:lineRule="auto"/>
              <w:jc w:val="center"/>
              <w:rPr>
                <w:color w:val="FFFFFF" w:themeColor="background1"/>
                <w:sz w:val="18"/>
                <w:szCs w:val="18"/>
                <w:lang w:val="pl-PL"/>
              </w:rPr>
            </w:pPr>
            <w:r w:rsidRPr="00CE1316">
              <w:rPr>
                <w:rFonts w:eastAsia="Calibri"/>
                <w:color w:val="FFFFFF" w:themeColor="background1"/>
                <w:sz w:val="18"/>
                <w:szCs w:val="18"/>
                <w:lang w:val="pl-PL"/>
              </w:rPr>
              <w:t>4+</w:t>
            </w:r>
          </w:p>
        </w:tc>
      </w:tr>
      <w:tr w:rsidR="00477B20" w:rsidRPr="0002448D" w14:paraId="204D45B6" w14:textId="77777777" w:rsidTr="00CE1316">
        <w:tc>
          <w:tcPr>
            <w:tcW w:w="1276" w:type="dxa"/>
            <w:vMerge/>
            <w:shd w:val="clear" w:color="auto" w:fill="FFE600"/>
            <w:vAlign w:val="center"/>
          </w:tcPr>
          <w:p w14:paraId="3D5489B9" w14:textId="77777777" w:rsidR="00477B20" w:rsidRPr="0002448D" w:rsidRDefault="00477B20" w:rsidP="004831D8">
            <w:pPr>
              <w:spacing w:before="60" w:after="60" w:line="240" w:lineRule="auto"/>
              <w:jc w:val="center"/>
              <w:rPr>
                <w:rFonts w:eastAsia="Calibri"/>
                <w:sz w:val="18"/>
                <w:szCs w:val="18"/>
                <w:lang w:val="pl-PL"/>
              </w:rPr>
            </w:pPr>
          </w:p>
        </w:tc>
        <w:tc>
          <w:tcPr>
            <w:tcW w:w="1985" w:type="dxa"/>
            <w:tcBorders>
              <w:right w:val="single" w:sz="4" w:space="0" w:color="808080" w:themeColor="background1" w:themeShade="80"/>
            </w:tcBorders>
            <w:shd w:val="clear" w:color="auto" w:fill="auto"/>
            <w:vAlign w:val="center"/>
          </w:tcPr>
          <w:p w14:paraId="6F3452A6" w14:textId="77777777" w:rsidR="00477B20" w:rsidRPr="00930473" w:rsidRDefault="00477B20" w:rsidP="004831D8">
            <w:pPr>
              <w:spacing w:before="60" w:after="60" w:line="240" w:lineRule="auto"/>
              <w:jc w:val="center"/>
              <w:rPr>
                <w:rFonts w:eastAsia="Calibri"/>
                <w:b/>
                <w:sz w:val="18"/>
                <w:szCs w:val="18"/>
                <w:lang w:val="pl-PL"/>
              </w:rPr>
            </w:pPr>
            <w:r w:rsidRPr="00930473">
              <w:rPr>
                <w:rFonts w:eastAsia="Calibri"/>
                <w:b/>
                <w:sz w:val="18"/>
                <w:szCs w:val="18"/>
                <w:lang w:val="pl-PL"/>
              </w:rPr>
              <w:t>G5</w:t>
            </w:r>
          </w:p>
        </w:tc>
        <w:tc>
          <w:tcPr>
            <w:tcW w:w="1984" w:type="dxa"/>
            <w:tcBorders>
              <w:top w:val="nil"/>
              <w:left w:val="single" w:sz="4" w:space="0" w:color="808080" w:themeColor="background1" w:themeShade="80"/>
              <w:bottom w:val="nil"/>
              <w:right w:val="nil"/>
            </w:tcBorders>
            <w:shd w:val="clear" w:color="auto" w:fill="595959" w:themeFill="text1" w:themeFillTint="A6"/>
            <w:vAlign w:val="center"/>
          </w:tcPr>
          <w:p w14:paraId="45539F58" w14:textId="77777777" w:rsidR="00477B20" w:rsidRPr="00CE1316" w:rsidRDefault="00CE1316" w:rsidP="00CE1316">
            <w:pPr>
              <w:spacing w:beforeLines="20" w:before="48" w:afterLines="20" w:after="48" w:line="240" w:lineRule="auto"/>
              <w:jc w:val="center"/>
              <w:rPr>
                <w:rFonts w:eastAsia="Calibri"/>
                <w:color w:val="FFFFFF" w:themeColor="background1"/>
                <w:sz w:val="18"/>
                <w:szCs w:val="18"/>
                <w:lang w:val="pl-PL"/>
              </w:rPr>
            </w:pPr>
            <w:r w:rsidRPr="00CE1316">
              <w:rPr>
                <w:rFonts w:eastAsia="Calibri"/>
                <w:color w:val="FFFFFF" w:themeColor="background1"/>
                <w:sz w:val="18"/>
                <w:szCs w:val="18"/>
                <w:lang w:val="pl-PL"/>
              </w:rPr>
              <w:t>4+</w:t>
            </w:r>
          </w:p>
        </w:tc>
        <w:tc>
          <w:tcPr>
            <w:tcW w:w="1845" w:type="dxa"/>
            <w:tcBorders>
              <w:top w:val="nil"/>
              <w:left w:val="nil"/>
              <w:bottom w:val="nil"/>
              <w:right w:val="nil"/>
            </w:tcBorders>
            <w:shd w:val="clear" w:color="auto" w:fill="595959" w:themeFill="text1" w:themeFillTint="A6"/>
            <w:vAlign w:val="center"/>
          </w:tcPr>
          <w:p w14:paraId="3414C252" w14:textId="77777777" w:rsidR="00477B20" w:rsidRPr="00CE1316" w:rsidRDefault="00CE1316" w:rsidP="00CE1316">
            <w:pPr>
              <w:spacing w:beforeLines="20" w:before="48" w:afterLines="20" w:after="48" w:line="240" w:lineRule="auto"/>
              <w:jc w:val="center"/>
              <w:rPr>
                <w:rFonts w:eastAsia="Calibri"/>
                <w:color w:val="FFFFFF" w:themeColor="background1"/>
                <w:sz w:val="18"/>
                <w:szCs w:val="18"/>
                <w:lang w:val="pl-PL"/>
              </w:rPr>
            </w:pPr>
            <w:r w:rsidRPr="00CE1316">
              <w:rPr>
                <w:rFonts w:eastAsia="Calibri"/>
                <w:color w:val="FFFFFF" w:themeColor="background1"/>
                <w:sz w:val="18"/>
                <w:szCs w:val="18"/>
                <w:lang w:val="pl-PL"/>
              </w:rPr>
              <w:t>4+</w:t>
            </w:r>
          </w:p>
        </w:tc>
        <w:tc>
          <w:tcPr>
            <w:tcW w:w="1941" w:type="dxa"/>
            <w:tcBorders>
              <w:top w:val="nil"/>
              <w:left w:val="nil"/>
              <w:bottom w:val="nil"/>
              <w:right w:val="nil"/>
            </w:tcBorders>
            <w:shd w:val="clear" w:color="auto" w:fill="595959" w:themeFill="text1" w:themeFillTint="A6"/>
            <w:vAlign w:val="center"/>
          </w:tcPr>
          <w:p w14:paraId="1B6F84FB" w14:textId="77777777" w:rsidR="00477B20" w:rsidRPr="00CE1316" w:rsidRDefault="00CE1316" w:rsidP="00CE1316">
            <w:pPr>
              <w:spacing w:beforeLines="20" w:before="48" w:afterLines="20" w:after="48" w:line="240" w:lineRule="auto"/>
              <w:jc w:val="center"/>
              <w:rPr>
                <w:rFonts w:eastAsia="Calibri"/>
                <w:color w:val="FFFFFF" w:themeColor="background1"/>
                <w:sz w:val="18"/>
                <w:szCs w:val="18"/>
                <w:lang w:val="pl-PL"/>
              </w:rPr>
            </w:pPr>
            <w:r w:rsidRPr="00CE1316">
              <w:rPr>
                <w:rFonts w:eastAsia="Calibri"/>
                <w:color w:val="FFFFFF" w:themeColor="background1"/>
                <w:sz w:val="18"/>
                <w:szCs w:val="18"/>
                <w:lang w:val="pl-PL"/>
              </w:rPr>
              <w:t>4+</w:t>
            </w:r>
          </w:p>
        </w:tc>
      </w:tr>
    </w:tbl>
    <w:p w14:paraId="4F781741" w14:textId="77777777" w:rsidR="00477B20" w:rsidRDefault="00CE1316" w:rsidP="00477B20">
      <w:pPr>
        <w:spacing w:before="0" w:after="0" w:line="240" w:lineRule="auto"/>
        <w:rPr>
          <w:sz w:val="18"/>
          <w:szCs w:val="18"/>
          <w:lang w:val="pl-PL"/>
        </w:rPr>
      </w:pPr>
      <w:r>
        <w:rPr>
          <w:sz w:val="18"/>
          <w:szCs w:val="18"/>
          <w:lang w:val="pl-PL"/>
        </w:rPr>
        <w:t xml:space="preserve">*jeśli rozpoznano </w:t>
      </w:r>
      <w:proofErr w:type="spellStart"/>
      <w:r>
        <w:rPr>
          <w:sz w:val="18"/>
          <w:szCs w:val="18"/>
          <w:lang w:val="pl-PL"/>
        </w:rPr>
        <w:t>PChN</w:t>
      </w:r>
      <w:proofErr w:type="spellEnd"/>
    </w:p>
    <w:p w14:paraId="4D210509" w14:textId="77777777" w:rsidR="00477B20" w:rsidRPr="00477B20" w:rsidRDefault="00477B20" w:rsidP="00576D80">
      <w:pPr>
        <w:pStyle w:val="EYBulletedList1"/>
        <w:numPr>
          <w:ilvl w:val="0"/>
          <w:numId w:val="0"/>
        </w:numPr>
        <w:spacing w:line="360" w:lineRule="auto"/>
        <w:jc w:val="both"/>
        <w:rPr>
          <w:sz w:val="24"/>
          <w:szCs w:val="18"/>
        </w:rPr>
      </w:pPr>
      <w:proofErr w:type="spellStart"/>
      <w:r>
        <w:rPr>
          <w:rFonts w:eastAsia="Calibri"/>
          <w:sz w:val="18"/>
        </w:rPr>
        <w:lastRenderedPageBreak/>
        <w:t>Źródło</w:t>
      </w:r>
      <w:proofErr w:type="spellEnd"/>
      <w:r>
        <w:rPr>
          <w:rFonts w:eastAsia="Calibri"/>
          <w:sz w:val="18"/>
        </w:rPr>
        <w:t xml:space="preserve">: </w:t>
      </w:r>
      <w:r w:rsidRPr="00A875F2">
        <w:rPr>
          <w:sz w:val="18"/>
        </w:rPr>
        <w:t>KDIGO 2012 Clinical Practic</w:t>
      </w:r>
      <w:r w:rsidRPr="00BE6340">
        <w:rPr>
          <w:sz w:val="18"/>
        </w:rPr>
        <w:t>e Guideline for the Evaluation and Management of Chronic Kidney Disease, Official Journal of the International Society of Nephrology, 2013</w:t>
      </w:r>
      <w:r>
        <w:rPr>
          <w:sz w:val="18"/>
        </w:rPr>
        <w:t xml:space="preserve">, s. </w:t>
      </w:r>
      <w:r w:rsidR="00CE1316">
        <w:rPr>
          <w:sz w:val="18"/>
        </w:rPr>
        <w:t>8</w:t>
      </w:r>
    </w:p>
    <w:p w14:paraId="06CAFDBE" w14:textId="4454E689" w:rsidR="000315E0" w:rsidRPr="000315E0" w:rsidRDefault="000315E0" w:rsidP="00501063">
      <w:pPr>
        <w:rPr>
          <w:rFonts w:eastAsia="Calibri"/>
          <w:lang w:val="pl-PL"/>
        </w:rPr>
      </w:pPr>
      <w:r w:rsidRPr="00C3682D">
        <w:rPr>
          <w:lang w:val="pl-PL"/>
        </w:rPr>
        <w:t>W celu zapobiegani</w:t>
      </w:r>
      <w:r w:rsidR="00F777B6">
        <w:rPr>
          <w:lang w:val="pl-PL"/>
        </w:rPr>
        <w:t>a</w:t>
      </w:r>
      <w:r w:rsidRPr="00C3682D">
        <w:rPr>
          <w:lang w:val="pl-PL"/>
        </w:rPr>
        <w:t xml:space="preserve"> progresji </w:t>
      </w:r>
      <w:proofErr w:type="spellStart"/>
      <w:r w:rsidRPr="00C3682D">
        <w:rPr>
          <w:lang w:val="pl-PL"/>
        </w:rPr>
        <w:t>PChN</w:t>
      </w:r>
      <w:proofErr w:type="spellEnd"/>
      <w:r w:rsidRPr="00C3682D">
        <w:rPr>
          <w:lang w:val="pl-PL"/>
        </w:rPr>
        <w:t xml:space="preserve"> należy przede wszystkim </w:t>
      </w:r>
      <w:r w:rsidR="008E6450" w:rsidRPr="00C3682D">
        <w:rPr>
          <w:lang w:val="pl-PL"/>
        </w:rPr>
        <w:t>właściwie rozpoznać i</w:t>
      </w:r>
      <w:r w:rsidR="00A8224E" w:rsidRPr="00C3682D">
        <w:rPr>
          <w:lang w:val="pl-PL"/>
        </w:rPr>
        <w:t> </w:t>
      </w:r>
      <w:r w:rsidR="008E6450" w:rsidRPr="00C3682D">
        <w:rPr>
          <w:lang w:val="pl-PL"/>
        </w:rPr>
        <w:t>leczyć chorobę podstawową oraz prowadzić lecze</w:t>
      </w:r>
      <w:r w:rsidR="008E6450">
        <w:rPr>
          <w:lang w:val="pl-PL"/>
        </w:rPr>
        <w:t xml:space="preserve">nie </w:t>
      </w:r>
      <w:r w:rsidR="00C3682D">
        <w:rPr>
          <w:lang w:val="pl-PL"/>
        </w:rPr>
        <w:t>i profilaktykę</w:t>
      </w:r>
      <w:r w:rsidR="008E6450">
        <w:rPr>
          <w:lang w:val="pl-PL"/>
        </w:rPr>
        <w:t xml:space="preserve"> w zakresie modyfikowalnych czynnikó</w:t>
      </w:r>
      <w:r w:rsidR="00A8224E">
        <w:rPr>
          <w:lang w:val="pl-PL"/>
        </w:rPr>
        <w:t xml:space="preserve">w przyspieszających postęp </w:t>
      </w:r>
      <w:proofErr w:type="spellStart"/>
      <w:r w:rsidR="00A8224E">
        <w:rPr>
          <w:lang w:val="pl-PL"/>
        </w:rPr>
        <w:t>PChN</w:t>
      </w:r>
      <w:proofErr w:type="spellEnd"/>
      <w:r w:rsidR="00A8224E">
        <w:rPr>
          <w:lang w:val="pl-PL"/>
        </w:rPr>
        <w:t>.</w:t>
      </w:r>
    </w:p>
    <w:p w14:paraId="347522D6" w14:textId="77777777" w:rsidR="00C06972" w:rsidRPr="00970FC6" w:rsidRDefault="00502DB3" w:rsidP="00C06972">
      <w:pPr>
        <w:pStyle w:val="EYHeading4"/>
        <w:rPr>
          <w:rFonts w:eastAsia="Calibri"/>
          <w:color w:val="000000" w:themeColor="text1"/>
          <w:lang w:val="pl-PL"/>
        </w:rPr>
      </w:pPr>
      <w:bookmarkStart w:id="46" w:name="_Toc486537902"/>
      <w:r w:rsidRPr="00970FC6">
        <w:rPr>
          <w:rFonts w:eastAsia="Calibri"/>
          <w:color w:val="000000" w:themeColor="text1"/>
          <w:lang w:val="pl-PL"/>
        </w:rPr>
        <w:t>Ustalenie obecności p</w:t>
      </w:r>
      <w:r w:rsidR="00C06972" w:rsidRPr="00970FC6">
        <w:rPr>
          <w:rFonts w:eastAsia="Calibri"/>
          <w:color w:val="000000" w:themeColor="text1"/>
          <w:lang w:val="pl-PL"/>
        </w:rPr>
        <w:t>owikła</w:t>
      </w:r>
      <w:r w:rsidRPr="00970FC6">
        <w:rPr>
          <w:rFonts w:eastAsia="Calibri"/>
          <w:color w:val="000000" w:themeColor="text1"/>
          <w:lang w:val="pl-PL"/>
        </w:rPr>
        <w:t>ń</w:t>
      </w:r>
      <w:r w:rsidR="00C06972" w:rsidRPr="00970FC6">
        <w:rPr>
          <w:rFonts w:eastAsia="Calibri"/>
          <w:color w:val="000000" w:themeColor="text1"/>
          <w:lang w:val="pl-PL"/>
        </w:rPr>
        <w:t xml:space="preserve"> i chor</w:t>
      </w:r>
      <w:r w:rsidRPr="00970FC6">
        <w:rPr>
          <w:rFonts w:eastAsia="Calibri"/>
          <w:color w:val="000000" w:themeColor="text1"/>
          <w:lang w:val="pl-PL"/>
        </w:rPr>
        <w:t>ób</w:t>
      </w:r>
      <w:r w:rsidR="00C06972" w:rsidRPr="00970FC6">
        <w:rPr>
          <w:rFonts w:eastAsia="Calibri"/>
          <w:color w:val="000000" w:themeColor="text1"/>
          <w:lang w:val="pl-PL"/>
        </w:rPr>
        <w:t xml:space="preserve"> współistniejąc</w:t>
      </w:r>
      <w:r w:rsidRPr="00970FC6">
        <w:rPr>
          <w:rFonts w:eastAsia="Calibri"/>
          <w:color w:val="000000" w:themeColor="text1"/>
          <w:lang w:val="pl-PL"/>
        </w:rPr>
        <w:t>ych</w:t>
      </w:r>
      <w:bookmarkEnd w:id="46"/>
    </w:p>
    <w:p w14:paraId="0CC64A28" w14:textId="77777777" w:rsidR="00234B6A" w:rsidRPr="00F90D81" w:rsidRDefault="00234B6A" w:rsidP="00234B6A">
      <w:pPr>
        <w:rPr>
          <w:rFonts w:eastAsia="Calibri"/>
          <w:szCs w:val="22"/>
          <w:lang w:val="pl-PL"/>
        </w:rPr>
      </w:pPr>
      <w:r w:rsidRPr="00F90D81">
        <w:rPr>
          <w:rFonts w:eastAsia="Calibri"/>
          <w:szCs w:val="22"/>
          <w:lang w:val="pl-PL"/>
        </w:rPr>
        <w:t>Przewlekła choroba nerek może prowadzić do rozwoju różnego rodzaju powikłań, będący</w:t>
      </w:r>
      <w:r w:rsidR="00AB565D" w:rsidRPr="00F90D81">
        <w:rPr>
          <w:rFonts w:eastAsia="Calibri"/>
          <w:szCs w:val="22"/>
          <w:lang w:val="pl-PL"/>
        </w:rPr>
        <w:t>ch</w:t>
      </w:r>
      <w:r w:rsidRPr="00F90D81">
        <w:rPr>
          <w:rFonts w:eastAsia="Calibri"/>
          <w:szCs w:val="22"/>
          <w:lang w:val="pl-PL"/>
        </w:rPr>
        <w:t xml:space="preserve"> dodatkowym obciążeniem zdrowotnym</w:t>
      </w:r>
      <w:r w:rsidR="00112946">
        <w:rPr>
          <w:rFonts w:eastAsia="Calibri"/>
          <w:szCs w:val="22"/>
          <w:lang w:val="pl-PL"/>
        </w:rPr>
        <w:t xml:space="preserve"> i </w:t>
      </w:r>
      <w:r w:rsidR="0077350F">
        <w:rPr>
          <w:rFonts w:eastAsia="Calibri"/>
          <w:szCs w:val="22"/>
          <w:lang w:val="pl-PL"/>
        </w:rPr>
        <w:t xml:space="preserve">psychospołecznym dla już chorujących na </w:t>
      </w:r>
      <w:proofErr w:type="spellStart"/>
      <w:r w:rsidR="0077350F">
        <w:rPr>
          <w:rFonts w:eastAsia="Calibri"/>
          <w:szCs w:val="22"/>
          <w:lang w:val="pl-PL"/>
        </w:rPr>
        <w:t>PChN</w:t>
      </w:r>
      <w:proofErr w:type="spellEnd"/>
      <w:r w:rsidR="00112946">
        <w:rPr>
          <w:rFonts w:eastAsia="Calibri"/>
          <w:szCs w:val="22"/>
          <w:lang w:val="pl-PL"/>
        </w:rPr>
        <w:t>, co</w:t>
      </w:r>
      <w:r w:rsidR="0077350F">
        <w:rPr>
          <w:rFonts w:eastAsia="Calibri"/>
          <w:szCs w:val="22"/>
          <w:lang w:val="pl-PL"/>
        </w:rPr>
        <w:t xml:space="preserve"> bezpośrednio </w:t>
      </w:r>
      <w:r w:rsidRPr="00F90D81">
        <w:rPr>
          <w:rFonts w:eastAsia="Calibri"/>
          <w:szCs w:val="22"/>
          <w:lang w:val="pl-PL"/>
        </w:rPr>
        <w:t>wpływa</w:t>
      </w:r>
      <w:r w:rsidR="0077350F">
        <w:rPr>
          <w:rFonts w:eastAsia="Calibri"/>
          <w:szCs w:val="22"/>
          <w:lang w:val="pl-PL"/>
        </w:rPr>
        <w:t xml:space="preserve"> na dalszy spadek jakości życia</w:t>
      </w:r>
      <w:r w:rsidRPr="00F90D81">
        <w:rPr>
          <w:rFonts w:eastAsia="Calibri"/>
          <w:szCs w:val="22"/>
          <w:lang w:val="pl-PL"/>
        </w:rPr>
        <w:t xml:space="preserve">. Do </w:t>
      </w:r>
      <w:r w:rsidR="00130CE2" w:rsidRPr="00F90D81">
        <w:rPr>
          <w:rFonts w:eastAsia="Calibri"/>
          <w:szCs w:val="22"/>
          <w:lang w:val="pl-PL"/>
        </w:rPr>
        <w:t xml:space="preserve">najczęstszych </w:t>
      </w:r>
      <w:r w:rsidRPr="00F90D81">
        <w:rPr>
          <w:rFonts w:eastAsia="Calibri"/>
          <w:szCs w:val="22"/>
          <w:lang w:val="pl-PL"/>
        </w:rPr>
        <w:t xml:space="preserve">powikłań </w:t>
      </w:r>
      <w:proofErr w:type="spellStart"/>
      <w:r w:rsidR="004A1249" w:rsidRPr="00F90D81">
        <w:rPr>
          <w:rFonts w:eastAsia="Calibri"/>
          <w:szCs w:val="22"/>
          <w:lang w:val="pl-PL"/>
        </w:rPr>
        <w:t>PChN</w:t>
      </w:r>
      <w:proofErr w:type="spellEnd"/>
      <w:r w:rsidR="004A1249" w:rsidRPr="00F90D81">
        <w:rPr>
          <w:rFonts w:eastAsia="Calibri"/>
          <w:szCs w:val="22"/>
          <w:lang w:val="pl-PL"/>
        </w:rPr>
        <w:t xml:space="preserve"> (</w:t>
      </w:r>
      <w:proofErr w:type="spellStart"/>
      <w:r w:rsidR="004A1249" w:rsidRPr="00F90D81">
        <w:rPr>
          <w:rFonts w:eastAsia="Calibri"/>
          <w:szCs w:val="22"/>
          <w:lang w:val="pl-PL"/>
        </w:rPr>
        <w:t>nerkopochodnych</w:t>
      </w:r>
      <w:proofErr w:type="spellEnd"/>
      <w:r w:rsidR="004A1249" w:rsidRPr="00F90D81">
        <w:rPr>
          <w:rFonts w:eastAsia="Calibri"/>
          <w:szCs w:val="22"/>
          <w:lang w:val="pl-PL"/>
        </w:rPr>
        <w:t>)</w:t>
      </w:r>
      <w:r w:rsidRPr="00F90D81">
        <w:rPr>
          <w:rFonts w:eastAsia="Calibri"/>
          <w:szCs w:val="22"/>
          <w:lang w:val="pl-PL"/>
        </w:rPr>
        <w:t xml:space="preserve"> należą m.in.:</w:t>
      </w:r>
    </w:p>
    <w:p w14:paraId="2E178EEA" w14:textId="77777777" w:rsidR="008C3B26" w:rsidRPr="00F90D81" w:rsidRDefault="008C3B26" w:rsidP="00F84B72">
      <w:pPr>
        <w:pStyle w:val="EYBulletedList1"/>
        <w:numPr>
          <w:ilvl w:val="0"/>
          <w:numId w:val="11"/>
        </w:numPr>
        <w:ind w:left="289" w:hanging="289"/>
        <w:jc w:val="both"/>
        <w:rPr>
          <w:sz w:val="22"/>
          <w:szCs w:val="22"/>
          <w:lang w:val="pl-PL"/>
        </w:rPr>
      </w:pPr>
      <w:r w:rsidRPr="00F90D81">
        <w:rPr>
          <w:sz w:val="22"/>
          <w:szCs w:val="22"/>
          <w:lang w:val="pl-PL"/>
        </w:rPr>
        <w:t>Choroby układu krążenia</w:t>
      </w:r>
    </w:p>
    <w:p w14:paraId="58D26B31" w14:textId="58EE44F2" w:rsidR="0093387F" w:rsidRPr="00F90D81" w:rsidRDefault="004A1249" w:rsidP="00501063">
      <w:pPr>
        <w:pStyle w:val="EYBulletedList1"/>
        <w:numPr>
          <w:ilvl w:val="0"/>
          <w:numId w:val="0"/>
        </w:numPr>
        <w:ind w:left="289"/>
        <w:jc w:val="both"/>
        <w:rPr>
          <w:rFonts w:eastAsia="Calibri"/>
          <w:sz w:val="22"/>
          <w:szCs w:val="22"/>
          <w:lang w:val="pl-PL"/>
        </w:rPr>
      </w:pPr>
      <w:proofErr w:type="spellStart"/>
      <w:r w:rsidRPr="00F90D81">
        <w:rPr>
          <w:rFonts w:eastAsia="Calibri"/>
          <w:sz w:val="22"/>
          <w:szCs w:val="22"/>
          <w:lang w:val="pl-PL"/>
        </w:rPr>
        <w:t>PChN</w:t>
      </w:r>
      <w:proofErr w:type="spellEnd"/>
      <w:r w:rsidRPr="00F90D81">
        <w:rPr>
          <w:rFonts w:eastAsia="Calibri"/>
          <w:sz w:val="22"/>
          <w:szCs w:val="22"/>
          <w:lang w:val="pl-PL"/>
        </w:rPr>
        <w:t xml:space="preserve"> stanowi niezależny czynnik ryzyka rozwoju chorób sercowo-naczyniowych</w:t>
      </w:r>
      <w:r w:rsidR="00833873" w:rsidRPr="00F90D81">
        <w:rPr>
          <w:rFonts w:eastAsia="Calibri"/>
          <w:sz w:val="22"/>
          <w:szCs w:val="22"/>
          <w:lang w:val="pl-PL"/>
        </w:rPr>
        <w:t>.</w:t>
      </w:r>
      <w:r w:rsidR="003F44FD" w:rsidRPr="00F90D81">
        <w:rPr>
          <w:rFonts w:eastAsia="Calibri"/>
          <w:sz w:val="22"/>
          <w:szCs w:val="22"/>
          <w:lang w:val="pl-PL"/>
        </w:rPr>
        <w:t xml:space="preserve"> </w:t>
      </w:r>
      <w:r w:rsidR="00833873" w:rsidRPr="00F90D81">
        <w:rPr>
          <w:rFonts w:eastAsia="Calibri"/>
          <w:sz w:val="22"/>
          <w:szCs w:val="22"/>
          <w:lang w:val="pl-PL"/>
        </w:rPr>
        <w:t>C</w:t>
      </w:r>
      <w:r w:rsidRPr="00F90D81">
        <w:rPr>
          <w:rFonts w:eastAsia="Calibri"/>
          <w:sz w:val="22"/>
          <w:szCs w:val="22"/>
          <w:lang w:val="pl-PL"/>
        </w:rPr>
        <w:t xml:space="preserve">horoby </w:t>
      </w:r>
      <w:r w:rsidR="00833873" w:rsidRPr="00F90D81">
        <w:rPr>
          <w:rFonts w:eastAsia="Calibri"/>
          <w:sz w:val="22"/>
          <w:szCs w:val="22"/>
          <w:lang w:val="pl-PL"/>
        </w:rPr>
        <w:t xml:space="preserve">te </w:t>
      </w:r>
      <w:r w:rsidRPr="00F90D81">
        <w:rPr>
          <w:rFonts w:eastAsia="Calibri"/>
          <w:sz w:val="22"/>
          <w:szCs w:val="22"/>
          <w:lang w:val="pl-PL"/>
        </w:rPr>
        <w:t>s</w:t>
      </w:r>
      <w:r w:rsidR="0093387F" w:rsidRPr="00F90D81">
        <w:rPr>
          <w:rFonts w:eastAsia="Calibri"/>
          <w:sz w:val="22"/>
          <w:szCs w:val="22"/>
          <w:lang w:val="pl-PL"/>
        </w:rPr>
        <w:t xml:space="preserve">tanowią najczęstszą przyczynę śmierci </w:t>
      </w:r>
      <w:r w:rsidRPr="00F90D81">
        <w:rPr>
          <w:rFonts w:eastAsia="Calibri"/>
          <w:sz w:val="22"/>
          <w:szCs w:val="22"/>
          <w:lang w:val="pl-PL"/>
        </w:rPr>
        <w:t xml:space="preserve">pacjentów </w:t>
      </w:r>
      <w:r w:rsidR="0093387F" w:rsidRPr="00F90D81">
        <w:rPr>
          <w:rFonts w:eastAsia="Calibri"/>
          <w:sz w:val="22"/>
          <w:szCs w:val="22"/>
          <w:lang w:val="pl-PL"/>
        </w:rPr>
        <w:t xml:space="preserve">z </w:t>
      </w:r>
      <w:proofErr w:type="spellStart"/>
      <w:r w:rsidR="0093387F" w:rsidRPr="00F90D81">
        <w:rPr>
          <w:rFonts w:eastAsia="Calibri"/>
          <w:sz w:val="22"/>
          <w:szCs w:val="22"/>
          <w:lang w:val="pl-PL"/>
        </w:rPr>
        <w:t>PChN</w:t>
      </w:r>
      <w:proofErr w:type="spellEnd"/>
      <w:r w:rsidR="0093387F" w:rsidRPr="00F90D81">
        <w:rPr>
          <w:rFonts w:eastAsia="Calibri"/>
          <w:sz w:val="22"/>
          <w:szCs w:val="22"/>
          <w:lang w:val="pl-PL"/>
        </w:rPr>
        <w:t>.</w:t>
      </w:r>
      <w:r w:rsidRPr="00F90D81">
        <w:rPr>
          <w:rFonts w:eastAsia="Calibri"/>
          <w:sz w:val="22"/>
          <w:szCs w:val="22"/>
          <w:lang w:val="pl-PL"/>
        </w:rPr>
        <w:t xml:space="preserve"> Ustalenie obecności czynników ryzyka sercowo-naczyniowego jest oddzielnym elementem postępowania diagnostycznego i zostało opisane szczegółowo w rozdziale </w:t>
      </w:r>
      <w:r w:rsidR="001E35A3">
        <w:rPr>
          <w:rFonts w:eastAsia="Calibri"/>
          <w:sz w:val="22"/>
          <w:szCs w:val="22"/>
          <w:lang w:val="pl-PL"/>
        </w:rPr>
        <w:t>2.1.2.4</w:t>
      </w:r>
      <w:r w:rsidR="0077350F">
        <w:rPr>
          <w:rFonts w:eastAsia="Calibri"/>
          <w:sz w:val="22"/>
          <w:szCs w:val="22"/>
          <w:lang w:val="pl-PL"/>
        </w:rPr>
        <w:t>.</w:t>
      </w:r>
    </w:p>
    <w:p w14:paraId="1B671BE2" w14:textId="77777777" w:rsidR="0093387F" w:rsidRPr="00F90D81" w:rsidRDefault="008C3B26" w:rsidP="00F84B72">
      <w:pPr>
        <w:pStyle w:val="EYBulletedList1"/>
        <w:numPr>
          <w:ilvl w:val="0"/>
          <w:numId w:val="11"/>
        </w:numPr>
        <w:ind w:left="289" w:hanging="289"/>
        <w:jc w:val="both"/>
        <w:rPr>
          <w:sz w:val="22"/>
          <w:szCs w:val="22"/>
          <w:lang w:val="pl-PL"/>
        </w:rPr>
      </w:pPr>
      <w:r w:rsidRPr="00F90D81">
        <w:rPr>
          <w:sz w:val="22"/>
          <w:szCs w:val="22"/>
          <w:lang w:val="pl-PL"/>
        </w:rPr>
        <w:t>Niedokrwistość</w:t>
      </w:r>
      <w:r w:rsidR="00FB0B75" w:rsidRPr="00F90D81">
        <w:rPr>
          <w:sz w:val="22"/>
          <w:szCs w:val="22"/>
          <w:lang w:val="pl-PL"/>
        </w:rPr>
        <w:t xml:space="preserve"> (anemia)</w:t>
      </w:r>
      <w:r w:rsidR="00104099" w:rsidRPr="00F90D81">
        <w:rPr>
          <w:sz w:val="22"/>
          <w:szCs w:val="22"/>
          <w:vertAlign w:val="superscript"/>
        </w:rPr>
        <w:footnoteReference w:id="21"/>
      </w:r>
    </w:p>
    <w:p w14:paraId="5DA561D9" w14:textId="77777777" w:rsidR="004A1249" w:rsidRPr="00F90D81" w:rsidRDefault="00FB0B75" w:rsidP="00501063">
      <w:pPr>
        <w:pStyle w:val="EYBulletedList1"/>
        <w:numPr>
          <w:ilvl w:val="0"/>
          <w:numId w:val="0"/>
        </w:numPr>
        <w:ind w:left="289"/>
        <w:jc w:val="both"/>
        <w:rPr>
          <w:rFonts w:eastAsia="Calibri"/>
          <w:sz w:val="22"/>
          <w:szCs w:val="22"/>
          <w:lang w:val="pl-PL"/>
        </w:rPr>
      </w:pPr>
      <w:r w:rsidRPr="00F90D81">
        <w:rPr>
          <w:rFonts w:eastAsia="Calibri"/>
          <w:sz w:val="22"/>
          <w:szCs w:val="22"/>
          <w:lang w:val="pl-PL"/>
        </w:rPr>
        <w:t>Anemia</w:t>
      </w:r>
      <w:r w:rsidR="004A1249" w:rsidRPr="00F90D81">
        <w:rPr>
          <w:rFonts w:eastAsia="Calibri"/>
          <w:sz w:val="22"/>
          <w:szCs w:val="22"/>
          <w:lang w:val="pl-PL"/>
        </w:rPr>
        <w:t xml:space="preserve"> </w:t>
      </w:r>
      <w:r w:rsidR="00B32077" w:rsidRPr="00F90D81">
        <w:rPr>
          <w:rFonts w:eastAsia="Calibri"/>
          <w:sz w:val="22"/>
          <w:szCs w:val="22"/>
          <w:lang w:val="pl-PL"/>
        </w:rPr>
        <w:t>stanowi</w:t>
      </w:r>
      <w:r w:rsidR="004A1249" w:rsidRPr="00F90D81">
        <w:rPr>
          <w:rFonts w:eastAsia="Calibri"/>
          <w:sz w:val="22"/>
          <w:szCs w:val="22"/>
          <w:lang w:val="pl-PL"/>
        </w:rPr>
        <w:t xml:space="preserve"> </w:t>
      </w:r>
      <w:r w:rsidR="00B32077" w:rsidRPr="00F90D81">
        <w:rPr>
          <w:rFonts w:eastAsia="Calibri"/>
          <w:sz w:val="22"/>
          <w:szCs w:val="22"/>
          <w:lang w:val="pl-PL"/>
        </w:rPr>
        <w:t>jedn</w:t>
      </w:r>
      <w:r w:rsidR="00833873" w:rsidRPr="00F90D81">
        <w:rPr>
          <w:rFonts w:eastAsia="Calibri"/>
          <w:sz w:val="22"/>
          <w:szCs w:val="22"/>
          <w:lang w:val="pl-PL"/>
        </w:rPr>
        <w:t>o</w:t>
      </w:r>
      <w:r w:rsidR="00B32077" w:rsidRPr="00F90D81">
        <w:rPr>
          <w:rFonts w:eastAsia="Calibri"/>
          <w:sz w:val="22"/>
          <w:szCs w:val="22"/>
          <w:lang w:val="pl-PL"/>
        </w:rPr>
        <w:t xml:space="preserve"> z najważniejszych powikłań </w:t>
      </w:r>
      <w:proofErr w:type="spellStart"/>
      <w:r w:rsidR="00B32077" w:rsidRPr="00F90D81">
        <w:rPr>
          <w:rFonts w:eastAsia="Calibri"/>
          <w:sz w:val="22"/>
          <w:szCs w:val="22"/>
          <w:lang w:val="pl-PL"/>
        </w:rPr>
        <w:t>PChN</w:t>
      </w:r>
      <w:proofErr w:type="spellEnd"/>
      <w:r w:rsidR="00B32077" w:rsidRPr="00F90D81">
        <w:rPr>
          <w:rFonts w:eastAsia="Calibri"/>
          <w:sz w:val="22"/>
          <w:szCs w:val="22"/>
          <w:lang w:val="pl-PL"/>
        </w:rPr>
        <w:t xml:space="preserve"> i jest </w:t>
      </w:r>
      <w:r w:rsidR="004A1249" w:rsidRPr="00F90D81">
        <w:rPr>
          <w:rFonts w:eastAsia="Calibri"/>
          <w:sz w:val="22"/>
          <w:szCs w:val="22"/>
          <w:lang w:val="pl-PL"/>
        </w:rPr>
        <w:t>rozpoznawana zwykle w zaaw</w:t>
      </w:r>
      <w:r w:rsidR="007C23E4" w:rsidRPr="00F90D81">
        <w:rPr>
          <w:rFonts w:eastAsia="Calibri"/>
          <w:sz w:val="22"/>
          <w:szCs w:val="22"/>
          <w:lang w:val="pl-PL"/>
        </w:rPr>
        <w:t xml:space="preserve">ansowanych stadiach </w:t>
      </w:r>
      <w:proofErr w:type="spellStart"/>
      <w:r w:rsidR="007C23E4" w:rsidRPr="00F90D81">
        <w:rPr>
          <w:rFonts w:eastAsia="Calibri"/>
          <w:sz w:val="22"/>
          <w:szCs w:val="22"/>
          <w:lang w:val="pl-PL"/>
        </w:rPr>
        <w:t>PChN</w:t>
      </w:r>
      <w:proofErr w:type="spellEnd"/>
      <w:r w:rsidR="007C23E4" w:rsidRPr="00F90D81">
        <w:rPr>
          <w:rFonts w:eastAsia="Calibri"/>
          <w:sz w:val="22"/>
          <w:szCs w:val="22"/>
          <w:lang w:val="pl-PL"/>
        </w:rPr>
        <w:t xml:space="preserve"> bądź też wcześniejszych u pacjentów z nefropatią cukrzycową</w:t>
      </w:r>
      <w:r w:rsidRPr="00F90D81">
        <w:rPr>
          <w:rFonts w:eastAsia="Calibri"/>
          <w:sz w:val="22"/>
          <w:szCs w:val="22"/>
          <w:lang w:val="pl-PL"/>
        </w:rPr>
        <w:t xml:space="preserve"> (wśród cukrzyków niedokrwistość występuje szczególnie często)</w:t>
      </w:r>
      <w:r w:rsidR="007C23E4" w:rsidRPr="00F90D81">
        <w:rPr>
          <w:rFonts w:eastAsia="Calibri"/>
          <w:sz w:val="22"/>
          <w:szCs w:val="22"/>
          <w:lang w:val="pl-PL"/>
        </w:rPr>
        <w:t xml:space="preserve">. </w:t>
      </w:r>
      <w:r w:rsidRPr="00F90D81">
        <w:rPr>
          <w:rFonts w:eastAsia="Calibri"/>
          <w:sz w:val="22"/>
          <w:szCs w:val="22"/>
          <w:lang w:val="pl-PL"/>
        </w:rPr>
        <w:t xml:space="preserve">Anemia może postępować równolegle z utratą przez nerki zdolności do pracy i produkcji </w:t>
      </w:r>
      <w:r w:rsidR="00927FD7">
        <w:rPr>
          <w:rFonts w:eastAsia="Calibri"/>
          <w:sz w:val="22"/>
          <w:szCs w:val="22"/>
          <w:lang w:val="pl-PL"/>
        </w:rPr>
        <w:t xml:space="preserve">hormonu </w:t>
      </w:r>
      <w:r w:rsidRPr="00F90D81">
        <w:rPr>
          <w:rFonts w:eastAsia="Calibri"/>
          <w:sz w:val="22"/>
          <w:szCs w:val="22"/>
          <w:lang w:val="pl-PL"/>
        </w:rPr>
        <w:t>erytropoetyny</w:t>
      </w:r>
      <w:r w:rsidR="00927FD7" w:rsidRPr="00927FD7">
        <w:rPr>
          <w:rFonts w:eastAsia="Calibri"/>
          <w:sz w:val="22"/>
          <w:szCs w:val="22"/>
          <w:lang w:val="pl-PL"/>
        </w:rPr>
        <w:t>, niezbędnego do produkcji</w:t>
      </w:r>
      <w:r w:rsidR="00927FD7">
        <w:rPr>
          <w:rFonts w:eastAsia="Calibri"/>
          <w:sz w:val="22"/>
          <w:szCs w:val="22"/>
          <w:lang w:val="pl-PL"/>
        </w:rPr>
        <w:t xml:space="preserve"> czerwonych krwinek</w:t>
      </w:r>
      <w:r w:rsidRPr="00F90D81">
        <w:rPr>
          <w:rFonts w:eastAsia="Calibri"/>
          <w:sz w:val="22"/>
          <w:szCs w:val="22"/>
          <w:lang w:val="pl-PL"/>
        </w:rPr>
        <w:t xml:space="preserve">. </w:t>
      </w:r>
      <w:r w:rsidR="007C23E4" w:rsidRPr="00F90D81">
        <w:rPr>
          <w:rFonts w:eastAsia="Calibri"/>
          <w:sz w:val="22"/>
          <w:szCs w:val="22"/>
          <w:lang w:val="pl-PL"/>
        </w:rPr>
        <w:t>Stopień niedokrwistości określa się za pomocą stężenia hemoglobiny, a jej częstość występowania znacząco wzrasta</w:t>
      </w:r>
      <w:r w:rsidR="0057334D" w:rsidRPr="00F90D81">
        <w:rPr>
          <w:rFonts w:eastAsia="Calibri"/>
          <w:sz w:val="22"/>
          <w:szCs w:val="22"/>
          <w:lang w:val="pl-PL"/>
        </w:rPr>
        <w:t>,</w:t>
      </w:r>
      <w:r w:rsidR="007C23E4" w:rsidRPr="00F90D81">
        <w:rPr>
          <w:rFonts w:eastAsia="Calibri"/>
          <w:sz w:val="22"/>
          <w:szCs w:val="22"/>
          <w:lang w:val="pl-PL"/>
        </w:rPr>
        <w:t xml:space="preserve"> gdy GFR &lt; 60 ml/min/1,73m</w:t>
      </w:r>
      <w:r w:rsidR="007C23E4" w:rsidRPr="00F90D81">
        <w:rPr>
          <w:rFonts w:eastAsia="Calibri"/>
          <w:sz w:val="22"/>
          <w:szCs w:val="22"/>
          <w:vertAlign w:val="superscript"/>
          <w:lang w:val="pl-PL"/>
        </w:rPr>
        <w:t>2</w:t>
      </w:r>
      <w:r w:rsidR="007C23E4" w:rsidRPr="00F90D81">
        <w:rPr>
          <w:rFonts w:eastAsia="Calibri"/>
          <w:sz w:val="22"/>
          <w:szCs w:val="22"/>
          <w:lang w:val="pl-PL"/>
        </w:rPr>
        <w:t xml:space="preserve">. </w:t>
      </w:r>
      <w:r w:rsidR="0057334D" w:rsidRPr="00F90D81">
        <w:rPr>
          <w:rFonts w:eastAsia="Calibri"/>
          <w:sz w:val="22"/>
          <w:szCs w:val="22"/>
          <w:lang w:val="pl-PL"/>
        </w:rPr>
        <w:t>Głównymi p</w:t>
      </w:r>
      <w:r w:rsidR="007C23E4" w:rsidRPr="00F90D81">
        <w:rPr>
          <w:rFonts w:eastAsia="Calibri"/>
          <w:sz w:val="22"/>
          <w:szCs w:val="22"/>
          <w:lang w:val="pl-PL"/>
        </w:rPr>
        <w:t>rzyczyn</w:t>
      </w:r>
      <w:r w:rsidR="0057334D" w:rsidRPr="00F90D81">
        <w:rPr>
          <w:rFonts w:eastAsia="Calibri"/>
          <w:sz w:val="22"/>
          <w:szCs w:val="22"/>
          <w:lang w:val="pl-PL"/>
        </w:rPr>
        <w:t>ami</w:t>
      </w:r>
      <w:r w:rsidR="007C23E4" w:rsidRPr="00F90D81">
        <w:rPr>
          <w:rFonts w:eastAsia="Calibri"/>
          <w:sz w:val="22"/>
          <w:szCs w:val="22"/>
          <w:lang w:val="pl-PL"/>
        </w:rPr>
        <w:t xml:space="preserve"> niedokrwistości </w:t>
      </w:r>
      <w:proofErr w:type="spellStart"/>
      <w:r w:rsidR="007C23E4" w:rsidRPr="00F90D81">
        <w:rPr>
          <w:rFonts w:eastAsia="Calibri"/>
          <w:sz w:val="22"/>
          <w:szCs w:val="22"/>
          <w:lang w:val="pl-PL"/>
        </w:rPr>
        <w:t>nerkopochodnej</w:t>
      </w:r>
      <w:proofErr w:type="spellEnd"/>
      <w:r w:rsidR="0057334D" w:rsidRPr="00F90D81">
        <w:rPr>
          <w:rFonts w:eastAsia="Calibri"/>
          <w:sz w:val="22"/>
          <w:szCs w:val="22"/>
          <w:lang w:val="pl-PL"/>
        </w:rPr>
        <w:t>, objawiającymi się</w:t>
      </w:r>
      <w:r w:rsidR="00AB565D" w:rsidRPr="00F90D81">
        <w:rPr>
          <w:rFonts w:eastAsia="Calibri"/>
          <w:sz w:val="22"/>
          <w:szCs w:val="22"/>
          <w:lang w:val="pl-PL"/>
        </w:rPr>
        <w:t xml:space="preserve"> często</w:t>
      </w:r>
      <w:r w:rsidR="0057334D" w:rsidRPr="00F90D81">
        <w:rPr>
          <w:rFonts w:eastAsia="Calibri"/>
          <w:sz w:val="22"/>
          <w:szCs w:val="22"/>
          <w:lang w:val="pl-PL"/>
        </w:rPr>
        <w:t xml:space="preserve"> w większej liczbie niż jedna,</w:t>
      </w:r>
      <w:r w:rsidR="007C23E4" w:rsidRPr="00F90D81">
        <w:rPr>
          <w:rFonts w:eastAsia="Calibri"/>
          <w:sz w:val="22"/>
          <w:szCs w:val="22"/>
          <w:lang w:val="pl-PL"/>
        </w:rPr>
        <w:t xml:space="preserve"> </w:t>
      </w:r>
      <w:r w:rsidR="0057334D" w:rsidRPr="00F90D81">
        <w:rPr>
          <w:rFonts w:eastAsia="Calibri"/>
          <w:sz w:val="22"/>
          <w:szCs w:val="22"/>
          <w:lang w:val="pl-PL"/>
        </w:rPr>
        <w:t xml:space="preserve">mogą być: </w:t>
      </w:r>
      <w:r w:rsidR="00D046F9" w:rsidRPr="00F90D81">
        <w:rPr>
          <w:rFonts w:eastAsia="Calibri"/>
          <w:sz w:val="22"/>
          <w:szCs w:val="22"/>
          <w:lang w:val="pl-PL"/>
        </w:rPr>
        <w:t>zmniejszona erytropoeza</w:t>
      </w:r>
      <w:r w:rsidR="0057334D" w:rsidRPr="00F90D81">
        <w:rPr>
          <w:rFonts w:eastAsia="Calibri"/>
          <w:sz w:val="22"/>
          <w:szCs w:val="22"/>
          <w:lang w:val="pl-PL"/>
        </w:rPr>
        <w:t>, czynnościowy lub bezwzględny niedobór żelaza, utrata krwi (jawna lub utajona), hamowanie czynności szpiku przez toksyny mocznicowe lub czynniki zapalne, krótki okres przeżycia erytrocytów, niedobór kwasu foliowego i witaminy B</w:t>
      </w:r>
      <w:r w:rsidR="0057334D" w:rsidRPr="00F90D81">
        <w:rPr>
          <w:rFonts w:eastAsia="Calibri"/>
          <w:sz w:val="22"/>
          <w:szCs w:val="22"/>
          <w:vertAlign w:val="subscript"/>
          <w:lang w:val="pl-PL"/>
        </w:rPr>
        <w:t>12</w:t>
      </w:r>
      <w:r w:rsidR="0057334D" w:rsidRPr="00F90D81">
        <w:rPr>
          <w:rFonts w:eastAsia="Calibri"/>
          <w:sz w:val="22"/>
          <w:szCs w:val="22"/>
          <w:lang w:val="pl-PL"/>
        </w:rPr>
        <w:t xml:space="preserve">. </w:t>
      </w:r>
      <w:r w:rsidR="00D046F9" w:rsidRPr="00F90D81">
        <w:rPr>
          <w:rFonts w:eastAsia="Calibri"/>
          <w:sz w:val="22"/>
          <w:szCs w:val="22"/>
          <w:lang w:val="pl-PL"/>
        </w:rPr>
        <w:t>Leczenie niedokrwistości polega przede wszystkim na leczeniu preparatami żelaza</w:t>
      </w:r>
      <w:r w:rsidR="001550AA" w:rsidRPr="00F90D81">
        <w:rPr>
          <w:rFonts w:eastAsia="Calibri"/>
          <w:sz w:val="22"/>
          <w:szCs w:val="22"/>
          <w:lang w:val="pl-PL"/>
        </w:rPr>
        <w:t>,</w:t>
      </w:r>
      <w:r w:rsidR="00D046F9" w:rsidRPr="00F90D81">
        <w:rPr>
          <w:rFonts w:eastAsia="Calibri"/>
          <w:sz w:val="22"/>
          <w:szCs w:val="22"/>
          <w:lang w:val="pl-PL"/>
        </w:rPr>
        <w:t xml:space="preserve"> czynnikami stymulującymi erytropoezę</w:t>
      </w:r>
      <w:r w:rsidR="001550AA" w:rsidRPr="00F90D81">
        <w:rPr>
          <w:rFonts w:eastAsia="Calibri"/>
          <w:sz w:val="22"/>
          <w:szCs w:val="22"/>
          <w:lang w:val="pl-PL"/>
        </w:rPr>
        <w:t xml:space="preserve"> i innymi lekami</w:t>
      </w:r>
      <w:r w:rsidR="00D046F9" w:rsidRPr="00F90D81">
        <w:rPr>
          <w:rFonts w:eastAsia="Calibri"/>
          <w:sz w:val="22"/>
          <w:szCs w:val="22"/>
          <w:lang w:val="pl-PL"/>
        </w:rPr>
        <w:t xml:space="preserve"> czy </w:t>
      </w:r>
      <w:r w:rsidRPr="00F90D81">
        <w:rPr>
          <w:rFonts w:eastAsia="Calibri"/>
          <w:sz w:val="22"/>
          <w:szCs w:val="22"/>
          <w:lang w:val="pl-PL"/>
        </w:rPr>
        <w:t xml:space="preserve">ostatecznie </w:t>
      </w:r>
      <w:r w:rsidR="001550AA" w:rsidRPr="00F90D81">
        <w:rPr>
          <w:rFonts w:eastAsia="Calibri"/>
          <w:sz w:val="22"/>
          <w:szCs w:val="22"/>
          <w:lang w:val="pl-PL"/>
        </w:rPr>
        <w:t>na przeta</w:t>
      </w:r>
      <w:r w:rsidR="00D046F9" w:rsidRPr="00F90D81">
        <w:rPr>
          <w:rFonts w:eastAsia="Calibri"/>
          <w:sz w:val="22"/>
          <w:szCs w:val="22"/>
          <w:lang w:val="pl-PL"/>
        </w:rPr>
        <w:t>cz</w:t>
      </w:r>
      <w:r w:rsidR="001550AA" w:rsidRPr="00F90D81">
        <w:rPr>
          <w:rFonts w:eastAsia="Calibri"/>
          <w:sz w:val="22"/>
          <w:szCs w:val="22"/>
          <w:lang w:val="pl-PL"/>
        </w:rPr>
        <w:t>a</w:t>
      </w:r>
      <w:r w:rsidR="00D046F9" w:rsidRPr="00F90D81">
        <w:rPr>
          <w:rFonts w:eastAsia="Calibri"/>
          <w:sz w:val="22"/>
          <w:szCs w:val="22"/>
          <w:lang w:val="pl-PL"/>
        </w:rPr>
        <w:t>niu krwi</w:t>
      </w:r>
      <w:r w:rsidRPr="00F90D81">
        <w:rPr>
          <w:rFonts w:eastAsia="Calibri"/>
          <w:sz w:val="22"/>
          <w:szCs w:val="22"/>
          <w:lang w:val="pl-PL"/>
        </w:rPr>
        <w:t>.</w:t>
      </w:r>
      <w:r w:rsidR="00D046F9" w:rsidRPr="00F90D81">
        <w:rPr>
          <w:rFonts w:eastAsia="Calibri"/>
          <w:sz w:val="22"/>
          <w:szCs w:val="22"/>
          <w:lang w:val="pl-PL"/>
        </w:rPr>
        <w:t xml:space="preserve"> </w:t>
      </w:r>
      <w:r w:rsidR="0057334D" w:rsidRPr="00F90D81">
        <w:rPr>
          <w:rFonts w:eastAsia="Calibri"/>
          <w:sz w:val="22"/>
          <w:szCs w:val="22"/>
          <w:lang w:val="pl-PL"/>
        </w:rPr>
        <w:t xml:space="preserve">Celem leczenia niedokrwistości jest utrzymanie odpowiedniego stężenia hemoglobiny, </w:t>
      </w:r>
      <w:r w:rsidR="00D20219" w:rsidRPr="00F90D81">
        <w:rPr>
          <w:rFonts w:eastAsia="Calibri"/>
          <w:sz w:val="22"/>
          <w:szCs w:val="22"/>
          <w:lang w:val="pl-PL"/>
        </w:rPr>
        <w:t>preferencyjnie</w:t>
      </w:r>
      <w:r w:rsidR="0057334D" w:rsidRPr="00F90D81">
        <w:rPr>
          <w:rFonts w:eastAsia="Calibri"/>
          <w:sz w:val="22"/>
          <w:szCs w:val="22"/>
          <w:lang w:val="pl-PL"/>
        </w:rPr>
        <w:t xml:space="preserve"> w przedziale 10-11,5  </w:t>
      </w:r>
      <w:r w:rsidR="00D20219" w:rsidRPr="00F90D81">
        <w:rPr>
          <w:rFonts w:eastAsia="Calibri"/>
          <w:sz w:val="22"/>
          <w:szCs w:val="22"/>
          <w:lang w:val="pl-PL"/>
        </w:rPr>
        <w:t>g/</w:t>
      </w:r>
      <w:r w:rsidR="0057334D" w:rsidRPr="00F90D81">
        <w:rPr>
          <w:rFonts w:eastAsia="Calibri"/>
          <w:sz w:val="22"/>
          <w:szCs w:val="22"/>
          <w:lang w:val="pl-PL"/>
        </w:rPr>
        <w:t>dl</w:t>
      </w:r>
      <w:r w:rsidR="008005AC" w:rsidRPr="00F90D81">
        <w:rPr>
          <w:rFonts w:eastAsia="Calibri"/>
          <w:sz w:val="22"/>
          <w:szCs w:val="22"/>
          <w:lang w:val="pl-PL"/>
        </w:rPr>
        <w:t xml:space="preserve"> (nie powinien przekroczyć 12-13 g/dl zwłaszcza u chorych na niewydolność serca oraz ze względu na wzrost ryzyka chorób sercowo-naczyniowych)</w:t>
      </w:r>
      <w:r w:rsidR="0057334D" w:rsidRPr="00F90D81">
        <w:rPr>
          <w:rFonts w:eastAsia="Calibri"/>
          <w:sz w:val="22"/>
          <w:szCs w:val="22"/>
          <w:lang w:val="pl-PL"/>
        </w:rPr>
        <w:t>.</w:t>
      </w:r>
    </w:p>
    <w:p w14:paraId="2CA7BD3E" w14:textId="77777777" w:rsidR="008C3B26" w:rsidRPr="00F90D81" w:rsidRDefault="0098077F" w:rsidP="00F84B72">
      <w:pPr>
        <w:pStyle w:val="EYBulletedList1"/>
        <w:numPr>
          <w:ilvl w:val="0"/>
          <w:numId w:val="11"/>
        </w:numPr>
        <w:ind w:left="289" w:hanging="289"/>
        <w:jc w:val="both"/>
        <w:rPr>
          <w:rFonts w:eastAsia="Calibri"/>
          <w:sz w:val="22"/>
          <w:szCs w:val="22"/>
          <w:lang w:val="pl-PL"/>
        </w:rPr>
      </w:pPr>
      <w:r w:rsidRPr="00F90D81">
        <w:rPr>
          <w:sz w:val="22"/>
          <w:szCs w:val="22"/>
          <w:lang w:val="pl-PL"/>
        </w:rPr>
        <w:t>P</w:t>
      </w:r>
      <w:r w:rsidR="00D24055" w:rsidRPr="00F90D81">
        <w:rPr>
          <w:sz w:val="22"/>
          <w:szCs w:val="22"/>
          <w:lang w:val="pl-PL"/>
        </w:rPr>
        <w:t>owikłania</w:t>
      </w:r>
      <w:r w:rsidR="008C3B26" w:rsidRPr="00F90D81">
        <w:rPr>
          <w:sz w:val="22"/>
          <w:szCs w:val="22"/>
          <w:lang w:val="pl-PL"/>
        </w:rPr>
        <w:t xml:space="preserve"> mineraln</w:t>
      </w:r>
      <w:r w:rsidR="0077350F">
        <w:rPr>
          <w:sz w:val="22"/>
          <w:szCs w:val="22"/>
          <w:lang w:val="pl-PL"/>
        </w:rPr>
        <w:t>o-</w:t>
      </w:r>
      <w:r w:rsidR="008C3B26" w:rsidRPr="00F90D81">
        <w:rPr>
          <w:sz w:val="22"/>
          <w:szCs w:val="22"/>
          <w:lang w:val="pl-PL"/>
        </w:rPr>
        <w:t>kostne</w:t>
      </w:r>
      <w:r w:rsidR="00D24055" w:rsidRPr="00F90D81">
        <w:rPr>
          <w:sz w:val="22"/>
          <w:szCs w:val="22"/>
          <w:lang w:val="pl-PL"/>
        </w:rPr>
        <w:t xml:space="preserve"> (PMK)</w:t>
      </w:r>
      <w:r w:rsidR="00104099" w:rsidRPr="00F90D81">
        <w:rPr>
          <w:rStyle w:val="Odwoanieprzypisudolnego"/>
          <w:rFonts w:eastAsia="Calibri"/>
          <w:sz w:val="22"/>
          <w:szCs w:val="22"/>
          <w:lang w:val="pl-PL"/>
        </w:rPr>
        <w:footnoteReference w:id="22"/>
      </w:r>
    </w:p>
    <w:p w14:paraId="3A13AD38" w14:textId="081D01E5" w:rsidR="008525EF" w:rsidRDefault="002F2B1A" w:rsidP="00501063">
      <w:pPr>
        <w:pStyle w:val="EYBulletedList1"/>
        <w:numPr>
          <w:ilvl w:val="0"/>
          <w:numId w:val="0"/>
        </w:numPr>
        <w:ind w:left="289"/>
        <w:jc w:val="both"/>
        <w:rPr>
          <w:rFonts w:eastAsia="Calibri"/>
          <w:sz w:val="22"/>
          <w:szCs w:val="22"/>
          <w:lang w:val="pl-PL"/>
        </w:rPr>
      </w:pPr>
      <w:r w:rsidRPr="00F90D81">
        <w:rPr>
          <w:rFonts w:eastAsia="Calibri"/>
          <w:sz w:val="22"/>
          <w:szCs w:val="22"/>
          <w:lang w:val="pl-PL"/>
        </w:rPr>
        <w:lastRenderedPageBreak/>
        <w:t>PMK</w:t>
      </w:r>
      <w:r w:rsidR="008525EF" w:rsidRPr="00F90D81">
        <w:rPr>
          <w:rFonts w:eastAsia="Calibri"/>
          <w:sz w:val="22"/>
          <w:szCs w:val="22"/>
          <w:lang w:val="pl-PL"/>
        </w:rPr>
        <w:t xml:space="preserve"> związane z </w:t>
      </w:r>
      <w:proofErr w:type="spellStart"/>
      <w:r w:rsidR="008525EF" w:rsidRPr="00F90D81">
        <w:rPr>
          <w:rFonts w:eastAsia="Calibri"/>
          <w:sz w:val="22"/>
          <w:szCs w:val="22"/>
          <w:lang w:val="pl-PL"/>
        </w:rPr>
        <w:t>PChN</w:t>
      </w:r>
      <w:proofErr w:type="spellEnd"/>
      <w:r w:rsidR="008525EF" w:rsidRPr="00F90D81">
        <w:rPr>
          <w:rFonts w:eastAsia="Calibri"/>
          <w:sz w:val="22"/>
          <w:szCs w:val="22"/>
          <w:lang w:val="pl-PL"/>
        </w:rPr>
        <w:t xml:space="preserve"> przyjmują </w:t>
      </w:r>
      <w:r w:rsidR="008005AC" w:rsidRPr="00F90D81">
        <w:rPr>
          <w:rFonts w:eastAsia="Calibri"/>
          <w:sz w:val="22"/>
          <w:szCs w:val="22"/>
          <w:lang w:val="pl-PL"/>
        </w:rPr>
        <w:t xml:space="preserve">jedną lub więcej z </w:t>
      </w:r>
      <w:r w:rsidR="0013573B" w:rsidRPr="00F90D81">
        <w:rPr>
          <w:rFonts w:eastAsia="Calibri"/>
          <w:sz w:val="22"/>
          <w:szCs w:val="22"/>
          <w:lang w:val="pl-PL"/>
        </w:rPr>
        <w:t>trzech</w:t>
      </w:r>
      <w:r w:rsidR="008525EF" w:rsidRPr="00F90D81">
        <w:rPr>
          <w:rFonts w:eastAsia="Calibri"/>
          <w:sz w:val="22"/>
          <w:szCs w:val="22"/>
          <w:lang w:val="pl-PL"/>
        </w:rPr>
        <w:t xml:space="preserve"> postaci: </w:t>
      </w:r>
      <w:r w:rsidR="00E56385" w:rsidRPr="00F90D81">
        <w:rPr>
          <w:rFonts w:eastAsia="Calibri"/>
          <w:sz w:val="22"/>
          <w:szCs w:val="22"/>
          <w:lang w:val="pl-PL"/>
        </w:rPr>
        <w:t>zmiany hormonalne i</w:t>
      </w:r>
      <w:r w:rsidR="00026DB1">
        <w:rPr>
          <w:rFonts w:eastAsia="Calibri"/>
          <w:sz w:val="22"/>
          <w:szCs w:val="22"/>
          <w:lang w:val="pl-PL"/>
        </w:rPr>
        <w:t> </w:t>
      </w:r>
      <w:r w:rsidR="00E56385" w:rsidRPr="00F90D81">
        <w:rPr>
          <w:rFonts w:eastAsia="Calibri"/>
          <w:sz w:val="22"/>
          <w:szCs w:val="22"/>
          <w:lang w:val="pl-PL"/>
        </w:rPr>
        <w:t xml:space="preserve">biochemiczne objawiające się </w:t>
      </w:r>
      <w:r w:rsidR="008525EF" w:rsidRPr="00F90D81">
        <w:rPr>
          <w:rFonts w:eastAsia="Calibri"/>
          <w:sz w:val="22"/>
          <w:szCs w:val="22"/>
          <w:lang w:val="pl-PL"/>
        </w:rPr>
        <w:t>zaburzenia</w:t>
      </w:r>
      <w:r w:rsidR="00E56385" w:rsidRPr="00F90D81">
        <w:rPr>
          <w:rFonts w:eastAsia="Calibri"/>
          <w:sz w:val="22"/>
          <w:szCs w:val="22"/>
          <w:lang w:val="pl-PL"/>
        </w:rPr>
        <w:t>mi</w:t>
      </w:r>
      <w:r w:rsidR="008525EF" w:rsidRPr="00F90D81">
        <w:rPr>
          <w:rFonts w:eastAsia="Calibri"/>
          <w:sz w:val="22"/>
          <w:szCs w:val="22"/>
          <w:lang w:val="pl-PL"/>
        </w:rPr>
        <w:t xml:space="preserve"> gospodarki </w:t>
      </w:r>
      <w:r w:rsidR="00442638">
        <w:rPr>
          <w:rFonts w:eastAsia="Calibri"/>
          <w:sz w:val="22"/>
          <w:szCs w:val="22"/>
          <w:lang w:val="pl-PL"/>
        </w:rPr>
        <w:t>wapniowo-fosforanow</w:t>
      </w:r>
      <w:r w:rsidR="00E56385" w:rsidRPr="00F90D81">
        <w:rPr>
          <w:rFonts w:eastAsia="Calibri"/>
          <w:sz w:val="22"/>
          <w:szCs w:val="22"/>
          <w:lang w:val="pl-PL"/>
        </w:rPr>
        <w:t>ej</w:t>
      </w:r>
      <w:r w:rsidR="008525EF" w:rsidRPr="00F90D81">
        <w:rPr>
          <w:rFonts w:eastAsia="Calibri"/>
          <w:sz w:val="22"/>
          <w:szCs w:val="22"/>
          <w:lang w:val="pl-PL"/>
        </w:rPr>
        <w:t xml:space="preserve"> i</w:t>
      </w:r>
      <w:r w:rsidR="00026DB1">
        <w:rPr>
          <w:rFonts w:eastAsia="Calibri"/>
          <w:sz w:val="22"/>
          <w:szCs w:val="22"/>
          <w:lang w:val="pl-PL"/>
        </w:rPr>
        <w:t> </w:t>
      </w:r>
      <w:r w:rsidR="008525EF" w:rsidRPr="00F90D81">
        <w:rPr>
          <w:rFonts w:eastAsia="Calibri"/>
          <w:sz w:val="22"/>
          <w:szCs w:val="22"/>
          <w:lang w:val="pl-PL"/>
        </w:rPr>
        <w:t>nadczynnoś</w:t>
      </w:r>
      <w:r w:rsidR="00E56385" w:rsidRPr="00F90D81">
        <w:rPr>
          <w:rFonts w:eastAsia="Calibri"/>
          <w:sz w:val="22"/>
          <w:szCs w:val="22"/>
          <w:lang w:val="pl-PL"/>
        </w:rPr>
        <w:t>cią</w:t>
      </w:r>
      <w:r w:rsidR="008525EF" w:rsidRPr="00F90D81">
        <w:rPr>
          <w:rFonts w:eastAsia="Calibri"/>
          <w:sz w:val="22"/>
          <w:szCs w:val="22"/>
          <w:lang w:val="pl-PL"/>
        </w:rPr>
        <w:t xml:space="preserve"> przytarczyc,  </w:t>
      </w:r>
      <w:r w:rsidR="00E56385" w:rsidRPr="00F90D81">
        <w:rPr>
          <w:rFonts w:eastAsia="Calibri"/>
          <w:sz w:val="22"/>
          <w:szCs w:val="22"/>
          <w:lang w:val="pl-PL"/>
        </w:rPr>
        <w:t xml:space="preserve">zaburzenia </w:t>
      </w:r>
      <w:r w:rsidR="00BC2244" w:rsidRPr="00F90D81">
        <w:rPr>
          <w:rFonts w:eastAsia="Calibri"/>
          <w:sz w:val="22"/>
          <w:szCs w:val="22"/>
          <w:lang w:val="pl-PL"/>
        </w:rPr>
        <w:t xml:space="preserve">w zakresie struktury i czynności układu kostnego </w:t>
      </w:r>
      <w:r w:rsidR="00E56385" w:rsidRPr="00F90D81">
        <w:rPr>
          <w:rFonts w:eastAsia="Calibri"/>
          <w:sz w:val="22"/>
          <w:szCs w:val="22"/>
          <w:lang w:val="pl-PL"/>
        </w:rPr>
        <w:t>skutkujące osłabieniem wytrzymałości kości (osteodystrofia nerkowa</w:t>
      </w:r>
      <w:r w:rsidR="008005AC" w:rsidRPr="00F90D81">
        <w:rPr>
          <w:rFonts w:eastAsia="Calibri"/>
          <w:sz w:val="22"/>
          <w:szCs w:val="22"/>
          <w:lang w:val="pl-PL"/>
        </w:rPr>
        <w:t>)</w:t>
      </w:r>
      <w:r w:rsidR="008525EF" w:rsidRPr="00F90D81">
        <w:rPr>
          <w:rFonts w:eastAsia="Calibri"/>
          <w:sz w:val="22"/>
          <w:szCs w:val="22"/>
          <w:lang w:val="pl-PL"/>
        </w:rPr>
        <w:t xml:space="preserve"> oraz zwapnieni</w:t>
      </w:r>
      <w:r w:rsidR="00F777B6">
        <w:rPr>
          <w:rFonts w:eastAsia="Calibri"/>
          <w:sz w:val="22"/>
          <w:szCs w:val="22"/>
          <w:lang w:val="pl-PL"/>
        </w:rPr>
        <w:t>a</w:t>
      </w:r>
      <w:r w:rsidR="008525EF" w:rsidRPr="00F90D81">
        <w:rPr>
          <w:rFonts w:eastAsia="Calibri"/>
          <w:sz w:val="22"/>
          <w:szCs w:val="22"/>
          <w:lang w:val="pl-PL"/>
        </w:rPr>
        <w:t xml:space="preserve"> </w:t>
      </w:r>
      <w:proofErr w:type="spellStart"/>
      <w:r w:rsidR="00E56385" w:rsidRPr="00F90D81">
        <w:rPr>
          <w:rFonts w:eastAsia="Calibri"/>
          <w:sz w:val="22"/>
          <w:szCs w:val="22"/>
          <w:lang w:val="pl-PL"/>
        </w:rPr>
        <w:t>pozaszkieletowe</w:t>
      </w:r>
      <w:proofErr w:type="spellEnd"/>
      <w:r w:rsidR="00E56385" w:rsidRPr="00F90D81">
        <w:rPr>
          <w:rFonts w:eastAsia="Calibri"/>
          <w:sz w:val="22"/>
          <w:szCs w:val="22"/>
          <w:lang w:val="pl-PL"/>
        </w:rPr>
        <w:t xml:space="preserve"> w sercu, </w:t>
      </w:r>
      <w:r w:rsidR="008525EF" w:rsidRPr="00F90D81">
        <w:rPr>
          <w:rFonts w:eastAsia="Calibri"/>
          <w:sz w:val="22"/>
          <w:szCs w:val="22"/>
          <w:lang w:val="pl-PL"/>
        </w:rPr>
        <w:t>naczy</w:t>
      </w:r>
      <w:r w:rsidR="00E56385" w:rsidRPr="00F90D81">
        <w:rPr>
          <w:rFonts w:eastAsia="Calibri"/>
          <w:sz w:val="22"/>
          <w:szCs w:val="22"/>
          <w:lang w:val="pl-PL"/>
        </w:rPr>
        <w:t xml:space="preserve">niach </w:t>
      </w:r>
      <w:r w:rsidR="008525EF" w:rsidRPr="00F90D81">
        <w:rPr>
          <w:rFonts w:eastAsia="Calibri"/>
          <w:sz w:val="22"/>
          <w:szCs w:val="22"/>
          <w:lang w:val="pl-PL"/>
        </w:rPr>
        <w:t>lub innych tkan</w:t>
      </w:r>
      <w:r w:rsidR="00E56385" w:rsidRPr="00F90D81">
        <w:rPr>
          <w:rFonts w:eastAsia="Calibri"/>
          <w:sz w:val="22"/>
          <w:szCs w:val="22"/>
          <w:lang w:val="pl-PL"/>
        </w:rPr>
        <w:t>kach</w:t>
      </w:r>
      <w:r w:rsidR="008525EF" w:rsidRPr="00F90D81">
        <w:rPr>
          <w:rFonts w:eastAsia="Calibri"/>
          <w:sz w:val="22"/>
          <w:szCs w:val="22"/>
          <w:lang w:val="pl-PL"/>
        </w:rPr>
        <w:t xml:space="preserve"> miękkich. Powikłania mineralno-kostne </w:t>
      </w:r>
      <w:r w:rsidR="007F30A2" w:rsidRPr="00F90D81">
        <w:rPr>
          <w:rFonts w:eastAsia="Calibri"/>
          <w:sz w:val="22"/>
          <w:szCs w:val="22"/>
          <w:lang w:val="pl-PL"/>
        </w:rPr>
        <w:t xml:space="preserve">często </w:t>
      </w:r>
      <w:r w:rsidRPr="00F90D81">
        <w:rPr>
          <w:rFonts w:eastAsia="Calibri"/>
          <w:sz w:val="22"/>
          <w:szCs w:val="22"/>
          <w:lang w:val="pl-PL"/>
        </w:rPr>
        <w:t xml:space="preserve">towarzyszą </w:t>
      </w:r>
      <w:proofErr w:type="spellStart"/>
      <w:r w:rsidRPr="00F90D81">
        <w:rPr>
          <w:rFonts w:eastAsia="Calibri"/>
          <w:sz w:val="22"/>
          <w:szCs w:val="22"/>
          <w:lang w:val="pl-PL"/>
        </w:rPr>
        <w:t>PChN</w:t>
      </w:r>
      <w:proofErr w:type="spellEnd"/>
      <w:r w:rsidRPr="00F90D81">
        <w:rPr>
          <w:rFonts w:eastAsia="Calibri"/>
          <w:sz w:val="22"/>
          <w:szCs w:val="22"/>
          <w:lang w:val="pl-PL"/>
        </w:rPr>
        <w:t xml:space="preserve"> od jej wczesnych stadiów i </w:t>
      </w:r>
      <w:r w:rsidR="007F30A2" w:rsidRPr="00F90D81">
        <w:rPr>
          <w:rFonts w:eastAsia="Calibri"/>
          <w:sz w:val="22"/>
          <w:szCs w:val="22"/>
          <w:lang w:val="pl-PL"/>
        </w:rPr>
        <w:t>postępują</w:t>
      </w:r>
      <w:r w:rsidR="008525EF" w:rsidRPr="00F90D81">
        <w:rPr>
          <w:rFonts w:eastAsia="Calibri"/>
          <w:sz w:val="22"/>
          <w:szCs w:val="22"/>
          <w:lang w:val="pl-PL"/>
        </w:rPr>
        <w:t xml:space="preserve"> </w:t>
      </w:r>
      <w:r w:rsidR="007F30A2" w:rsidRPr="00F90D81">
        <w:rPr>
          <w:rFonts w:eastAsia="Calibri"/>
          <w:sz w:val="22"/>
          <w:szCs w:val="22"/>
          <w:lang w:val="pl-PL"/>
        </w:rPr>
        <w:t>wraz z progresją upośledzenia czynności nerek</w:t>
      </w:r>
      <w:r w:rsidRPr="00F90D81">
        <w:rPr>
          <w:rFonts w:eastAsia="Calibri"/>
          <w:sz w:val="22"/>
          <w:szCs w:val="22"/>
          <w:lang w:val="pl-PL"/>
        </w:rPr>
        <w:t xml:space="preserve"> aż do </w:t>
      </w:r>
      <w:r w:rsidR="00E56385" w:rsidRPr="00F90D81">
        <w:rPr>
          <w:rFonts w:eastAsia="Calibri"/>
          <w:sz w:val="22"/>
          <w:szCs w:val="22"/>
          <w:lang w:val="pl-PL"/>
        </w:rPr>
        <w:t>ich</w:t>
      </w:r>
      <w:r w:rsidRPr="00F90D81">
        <w:rPr>
          <w:rFonts w:eastAsia="Calibri"/>
          <w:sz w:val="22"/>
          <w:szCs w:val="22"/>
          <w:lang w:val="pl-PL"/>
        </w:rPr>
        <w:t xml:space="preserve"> schyłkowej niewydolności</w:t>
      </w:r>
      <w:r w:rsidR="007F30A2" w:rsidRPr="00F90D81">
        <w:rPr>
          <w:rFonts w:eastAsia="Calibri"/>
          <w:sz w:val="22"/>
          <w:szCs w:val="22"/>
          <w:lang w:val="pl-PL"/>
        </w:rPr>
        <w:t>.</w:t>
      </w:r>
      <w:r w:rsidR="008005AC" w:rsidRPr="00F90D81">
        <w:rPr>
          <w:rFonts w:eastAsia="Calibri"/>
          <w:sz w:val="22"/>
          <w:szCs w:val="22"/>
          <w:lang w:val="pl-PL"/>
        </w:rPr>
        <w:t xml:space="preserve"> Monitorowanie parametrów gospodarki </w:t>
      </w:r>
      <w:r w:rsidR="00442638">
        <w:rPr>
          <w:rFonts w:eastAsia="Calibri"/>
          <w:sz w:val="22"/>
          <w:szCs w:val="22"/>
          <w:lang w:val="pl-PL"/>
        </w:rPr>
        <w:t>wapniowo-fosforanow</w:t>
      </w:r>
      <w:r w:rsidR="00442638" w:rsidRPr="00F90D81">
        <w:rPr>
          <w:rFonts w:eastAsia="Calibri"/>
          <w:sz w:val="22"/>
          <w:szCs w:val="22"/>
          <w:lang w:val="pl-PL"/>
        </w:rPr>
        <w:t xml:space="preserve">ej </w:t>
      </w:r>
      <w:r w:rsidR="00BC2244" w:rsidRPr="00F90D81">
        <w:rPr>
          <w:rFonts w:eastAsia="Calibri"/>
          <w:sz w:val="22"/>
          <w:szCs w:val="22"/>
          <w:lang w:val="pl-PL"/>
        </w:rPr>
        <w:t>(m.in. stężenia w surowicy wapnia, fosforu, parathormonu, witaminy D</w:t>
      </w:r>
      <w:r w:rsidR="00BC2244" w:rsidRPr="00F90D81">
        <w:rPr>
          <w:rFonts w:eastAsia="Calibri"/>
          <w:sz w:val="22"/>
          <w:szCs w:val="22"/>
          <w:vertAlign w:val="subscript"/>
          <w:lang w:val="pl-PL"/>
        </w:rPr>
        <w:t>3</w:t>
      </w:r>
      <w:r w:rsidR="00BC2244" w:rsidRPr="00F90D81">
        <w:rPr>
          <w:rFonts w:eastAsia="Calibri"/>
          <w:sz w:val="22"/>
          <w:szCs w:val="22"/>
          <w:lang w:val="pl-PL"/>
        </w:rPr>
        <w:t>)</w:t>
      </w:r>
      <w:r w:rsidR="008005AC" w:rsidRPr="00F90D81">
        <w:rPr>
          <w:rFonts w:eastAsia="Calibri"/>
          <w:sz w:val="22"/>
          <w:szCs w:val="22"/>
          <w:lang w:val="pl-PL"/>
        </w:rPr>
        <w:t xml:space="preserve"> stanowi podstawę zapobiegania </w:t>
      </w:r>
      <w:r w:rsidR="00BC2244" w:rsidRPr="00F90D81">
        <w:rPr>
          <w:rFonts w:eastAsia="Calibri"/>
          <w:sz w:val="22"/>
          <w:szCs w:val="22"/>
          <w:lang w:val="pl-PL"/>
        </w:rPr>
        <w:t>PMK u</w:t>
      </w:r>
      <w:r w:rsidR="008005AC" w:rsidRPr="00F90D81">
        <w:rPr>
          <w:rFonts w:eastAsia="Calibri"/>
          <w:sz w:val="22"/>
          <w:szCs w:val="22"/>
          <w:lang w:val="pl-PL"/>
        </w:rPr>
        <w:t xml:space="preserve"> pacjentów z </w:t>
      </w:r>
      <w:proofErr w:type="spellStart"/>
      <w:r w:rsidR="008005AC" w:rsidRPr="00F90D81">
        <w:rPr>
          <w:rFonts w:eastAsia="Calibri"/>
          <w:sz w:val="22"/>
          <w:szCs w:val="22"/>
          <w:lang w:val="pl-PL"/>
        </w:rPr>
        <w:t>PChN</w:t>
      </w:r>
      <w:proofErr w:type="spellEnd"/>
      <w:r w:rsidR="008005AC" w:rsidRPr="00F90D81">
        <w:rPr>
          <w:rFonts w:eastAsia="Calibri"/>
          <w:sz w:val="22"/>
          <w:szCs w:val="22"/>
          <w:lang w:val="pl-PL"/>
        </w:rPr>
        <w:t>.</w:t>
      </w:r>
      <w:r w:rsidR="00104099" w:rsidRPr="00F90D81">
        <w:rPr>
          <w:rFonts w:eastAsia="Calibri"/>
          <w:sz w:val="22"/>
          <w:szCs w:val="22"/>
          <w:lang w:val="pl-PL"/>
        </w:rPr>
        <w:t xml:space="preserve"> Powikłania mineralne i kostne </w:t>
      </w:r>
      <w:r w:rsidR="00682316" w:rsidRPr="00F90D81">
        <w:rPr>
          <w:rFonts w:eastAsia="Calibri"/>
          <w:sz w:val="22"/>
          <w:szCs w:val="22"/>
          <w:lang w:val="pl-PL"/>
        </w:rPr>
        <w:t>są</w:t>
      </w:r>
      <w:r w:rsidR="00682316">
        <w:rPr>
          <w:rFonts w:eastAsia="Calibri"/>
          <w:sz w:val="22"/>
          <w:szCs w:val="22"/>
          <w:lang w:val="pl-PL"/>
        </w:rPr>
        <w:t xml:space="preserve"> nie tylko </w:t>
      </w:r>
      <w:r w:rsidR="00682316" w:rsidRPr="00F90D81">
        <w:rPr>
          <w:rFonts w:eastAsia="Calibri"/>
          <w:sz w:val="22"/>
          <w:szCs w:val="22"/>
          <w:lang w:val="pl-PL"/>
        </w:rPr>
        <w:t xml:space="preserve">jedną z przyczyn śmiertelności </w:t>
      </w:r>
      <w:r w:rsidR="00682316">
        <w:rPr>
          <w:rFonts w:eastAsia="Calibri"/>
          <w:sz w:val="22"/>
          <w:szCs w:val="22"/>
          <w:lang w:val="pl-PL"/>
        </w:rPr>
        <w:t xml:space="preserve">w </w:t>
      </w:r>
      <w:proofErr w:type="spellStart"/>
      <w:r w:rsidR="00682316" w:rsidRPr="00F90D81">
        <w:rPr>
          <w:rFonts w:eastAsia="Calibri"/>
          <w:sz w:val="22"/>
          <w:szCs w:val="22"/>
          <w:lang w:val="pl-PL"/>
        </w:rPr>
        <w:t>PChN</w:t>
      </w:r>
      <w:proofErr w:type="spellEnd"/>
      <w:r w:rsidR="00682316">
        <w:rPr>
          <w:rFonts w:eastAsia="Calibri"/>
          <w:sz w:val="22"/>
          <w:szCs w:val="22"/>
          <w:lang w:val="pl-PL"/>
        </w:rPr>
        <w:t xml:space="preserve">, ale również </w:t>
      </w:r>
      <w:r w:rsidR="00104099" w:rsidRPr="00F90D81">
        <w:rPr>
          <w:rFonts w:eastAsia="Calibri"/>
          <w:sz w:val="22"/>
          <w:szCs w:val="22"/>
          <w:lang w:val="pl-PL"/>
        </w:rPr>
        <w:t>zwiększają ryzyko chorób sercowo-naczyniowych.</w:t>
      </w:r>
    </w:p>
    <w:p w14:paraId="1FE911F1" w14:textId="77777777" w:rsidR="009E6153" w:rsidRPr="00F90D81" w:rsidRDefault="009E6153" w:rsidP="00F84B72">
      <w:pPr>
        <w:pStyle w:val="EYBulletedList1"/>
        <w:numPr>
          <w:ilvl w:val="0"/>
          <w:numId w:val="11"/>
        </w:numPr>
        <w:ind w:left="289" w:hanging="289"/>
        <w:jc w:val="both"/>
        <w:rPr>
          <w:sz w:val="22"/>
          <w:szCs w:val="22"/>
          <w:lang w:val="pl-PL"/>
        </w:rPr>
      </w:pPr>
      <w:r w:rsidRPr="00F90D81">
        <w:rPr>
          <w:sz w:val="22"/>
          <w:szCs w:val="22"/>
          <w:lang w:val="pl-PL"/>
        </w:rPr>
        <w:t>Niedożywienie białkowo-kaloryczne</w:t>
      </w:r>
      <w:r w:rsidRPr="00F90D81">
        <w:rPr>
          <w:sz w:val="22"/>
          <w:szCs w:val="22"/>
          <w:vertAlign w:val="superscript"/>
          <w:lang w:val="pl-PL"/>
        </w:rPr>
        <w:footnoteReference w:id="23"/>
      </w:r>
    </w:p>
    <w:p w14:paraId="4B6200CC" w14:textId="3C859712" w:rsidR="009E6153" w:rsidRPr="00F90D81" w:rsidRDefault="009E6153" w:rsidP="009E6153">
      <w:pPr>
        <w:pStyle w:val="EYBulletedList1"/>
        <w:numPr>
          <w:ilvl w:val="0"/>
          <w:numId w:val="0"/>
        </w:numPr>
        <w:ind w:left="289"/>
        <w:jc w:val="both"/>
        <w:rPr>
          <w:rFonts w:eastAsia="Calibri"/>
          <w:sz w:val="22"/>
          <w:szCs w:val="22"/>
          <w:lang w:val="pl-PL"/>
        </w:rPr>
      </w:pPr>
      <w:r w:rsidRPr="00F90D81">
        <w:rPr>
          <w:rFonts w:eastAsia="Calibri"/>
          <w:sz w:val="22"/>
          <w:szCs w:val="22"/>
          <w:lang w:val="pl-PL"/>
        </w:rPr>
        <w:t xml:space="preserve">Niedożywienie białkowo-kaloryczne dotyczy części pacjentów z </w:t>
      </w:r>
      <w:proofErr w:type="spellStart"/>
      <w:r w:rsidRPr="00F90D81">
        <w:rPr>
          <w:rFonts w:eastAsia="Calibri"/>
          <w:sz w:val="22"/>
          <w:szCs w:val="22"/>
          <w:lang w:val="pl-PL"/>
        </w:rPr>
        <w:t>PChN</w:t>
      </w:r>
      <w:proofErr w:type="spellEnd"/>
      <w:r w:rsidRPr="00F90D81">
        <w:rPr>
          <w:rFonts w:eastAsia="Calibri"/>
          <w:sz w:val="22"/>
          <w:szCs w:val="22"/>
          <w:lang w:val="pl-PL"/>
        </w:rPr>
        <w:t xml:space="preserve"> i rozwija się w miarę utraty czynności nerek – np. u pacjentów rozpoczynających leczenie nerkozastępcze z kategorii G5 (GFR &lt; 15 ml/min/1,73m</w:t>
      </w:r>
      <w:r w:rsidRPr="00F90D81">
        <w:rPr>
          <w:rFonts w:eastAsia="Calibri"/>
          <w:sz w:val="22"/>
          <w:szCs w:val="22"/>
          <w:vertAlign w:val="superscript"/>
          <w:lang w:val="pl-PL"/>
        </w:rPr>
        <w:t>2</w:t>
      </w:r>
      <w:r w:rsidRPr="00F90D81">
        <w:rPr>
          <w:rFonts w:eastAsia="Calibri"/>
          <w:sz w:val="22"/>
          <w:szCs w:val="22"/>
          <w:lang w:val="pl-PL"/>
        </w:rPr>
        <w:t>) niedożywienie stwierdza się u ok. 35% osób i</w:t>
      </w:r>
      <w:r>
        <w:rPr>
          <w:rFonts w:eastAsia="Calibri"/>
          <w:sz w:val="22"/>
          <w:szCs w:val="22"/>
          <w:lang w:val="pl-PL"/>
        </w:rPr>
        <w:t> </w:t>
      </w:r>
      <w:r w:rsidRPr="00F90D81">
        <w:rPr>
          <w:rFonts w:eastAsia="Calibri"/>
          <w:sz w:val="22"/>
          <w:szCs w:val="22"/>
          <w:lang w:val="pl-PL"/>
        </w:rPr>
        <w:t xml:space="preserve">stanowi element decyzyjny w rozpoczęciu dializoterapii dla tej grupy chorych. Głównymi przyczynami </w:t>
      </w:r>
      <w:proofErr w:type="spellStart"/>
      <w:r w:rsidRPr="00F90D81">
        <w:rPr>
          <w:rFonts w:eastAsia="Calibri"/>
          <w:sz w:val="22"/>
          <w:szCs w:val="22"/>
          <w:lang w:val="pl-PL"/>
        </w:rPr>
        <w:t>nerkopochodnego</w:t>
      </w:r>
      <w:proofErr w:type="spellEnd"/>
      <w:r w:rsidRPr="00F90D81">
        <w:rPr>
          <w:rFonts w:eastAsia="Calibri"/>
          <w:sz w:val="22"/>
          <w:szCs w:val="22"/>
          <w:lang w:val="pl-PL"/>
        </w:rPr>
        <w:t xml:space="preserve"> niedożywienia białkowo-kalorycznego są: ukierunkowane na ograniczenie progresji </w:t>
      </w:r>
      <w:proofErr w:type="spellStart"/>
      <w:r w:rsidRPr="00F90D81">
        <w:rPr>
          <w:rFonts w:eastAsia="Calibri"/>
          <w:sz w:val="22"/>
          <w:szCs w:val="22"/>
          <w:lang w:val="pl-PL"/>
        </w:rPr>
        <w:t>PChN</w:t>
      </w:r>
      <w:proofErr w:type="spellEnd"/>
      <w:r w:rsidRPr="00F90D81">
        <w:rPr>
          <w:rFonts w:eastAsia="Calibri"/>
          <w:sz w:val="22"/>
          <w:szCs w:val="22"/>
          <w:lang w:val="pl-PL"/>
        </w:rPr>
        <w:t xml:space="preserve"> bądź wynikające z zachowania samego chorego nadmierne ograniczenie zawartości białka i kaloryczności diety, choroby współistniejące (cukrzyca, niewydolność serca), czynniki kataboliczne (kwasica </w:t>
      </w:r>
      <w:proofErr w:type="spellStart"/>
      <w:r w:rsidRPr="00F90D81">
        <w:rPr>
          <w:rFonts w:eastAsia="Calibri"/>
          <w:sz w:val="22"/>
          <w:szCs w:val="22"/>
          <w:lang w:val="pl-PL"/>
        </w:rPr>
        <w:t>nieoddechowa</w:t>
      </w:r>
      <w:proofErr w:type="spellEnd"/>
      <w:r w:rsidRPr="00F90D81">
        <w:rPr>
          <w:rFonts w:eastAsia="Calibri"/>
          <w:sz w:val="22"/>
          <w:szCs w:val="22"/>
          <w:lang w:val="pl-PL"/>
        </w:rPr>
        <w:t xml:space="preserve">, </w:t>
      </w:r>
      <w:proofErr w:type="spellStart"/>
      <w:r w:rsidRPr="00F90D81">
        <w:rPr>
          <w:rFonts w:eastAsia="Calibri"/>
          <w:sz w:val="22"/>
          <w:szCs w:val="22"/>
          <w:lang w:val="pl-PL"/>
        </w:rPr>
        <w:t>insulinooporność</w:t>
      </w:r>
      <w:proofErr w:type="spellEnd"/>
      <w:r w:rsidRPr="00F90D81">
        <w:rPr>
          <w:rFonts w:eastAsia="Calibri"/>
          <w:sz w:val="22"/>
          <w:szCs w:val="22"/>
          <w:lang w:val="pl-PL"/>
        </w:rPr>
        <w:t xml:space="preserve">), przyczyny o podłożu psychologicznym (depresja) lub </w:t>
      </w:r>
      <w:proofErr w:type="spellStart"/>
      <w:r w:rsidRPr="00F90D81">
        <w:rPr>
          <w:rFonts w:eastAsia="Calibri"/>
          <w:sz w:val="22"/>
          <w:szCs w:val="22"/>
          <w:lang w:val="pl-PL"/>
        </w:rPr>
        <w:t>socjo</w:t>
      </w:r>
      <w:proofErr w:type="spellEnd"/>
      <w:r w:rsidRPr="00F90D81">
        <w:rPr>
          <w:rFonts w:eastAsia="Calibri"/>
          <w:sz w:val="22"/>
          <w:szCs w:val="22"/>
          <w:lang w:val="pl-PL"/>
        </w:rPr>
        <w:t xml:space="preserve">-ekonomicznym (ubóstwo, ostracyzm, inwalidztwo), przewlekłe zapalenie powodujące utratę łaknienia i wzmożenie katabolizmu, utrata białka i aminokwasów w trakcie dializy. U pacjentów, u których nie występują stany zapalne oraz istotne choroby współistniejące, niedożywienie może ustąpić na skutek rozpoczęcia dializoterapii i </w:t>
      </w:r>
      <w:proofErr w:type="spellStart"/>
      <w:r w:rsidRPr="00F90D81">
        <w:rPr>
          <w:rFonts w:eastAsia="Calibri"/>
          <w:sz w:val="22"/>
          <w:szCs w:val="22"/>
          <w:lang w:val="pl-PL"/>
        </w:rPr>
        <w:t>nutriterapii</w:t>
      </w:r>
      <w:proofErr w:type="spellEnd"/>
      <w:r w:rsidRPr="00F90D81">
        <w:rPr>
          <w:rFonts w:eastAsia="Calibri"/>
          <w:sz w:val="22"/>
          <w:szCs w:val="22"/>
          <w:lang w:val="pl-PL"/>
        </w:rPr>
        <w:t xml:space="preserve">. Istotne dla pacjentów z </w:t>
      </w:r>
      <w:proofErr w:type="spellStart"/>
      <w:r w:rsidRPr="00F90D81">
        <w:rPr>
          <w:rFonts w:eastAsia="Calibri"/>
          <w:sz w:val="22"/>
          <w:szCs w:val="22"/>
          <w:lang w:val="pl-PL"/>
        </w:rPr>
        <w:t>PChN</w:t>
      </w:r>
      <w:proofErr w:type="spellEnd"/>
      <w:r w:rsidRPr="00F90D81">
        <w:rPr>
          <w:rFonts w:eastAsia="Calibri"/>
          <w:sz w:val="22"/>
          <w:szCs w:val="22"/>
          <w:lang w:val="pl-PL"/>
        </w:rPr>
        <w:t xml:space="preserve"> jest przestrzeganie specyficznych zasad żywieniowych.</w:t>
      </w:r>
    </w:p>
    <w:p w14:paraId="09C57F6F" w14:textId="77777777" w:rsidR="00130CE2" w:rsidRPr="00970FC6" w:rsidRDefault="00130CE2" w:rsidP="00130CE2">
      <w:pPr>
        <w:pStyle w:val="EYHeading4"/>
        <w:rPr>
          <w:rFonts w:eastAsia="Calibri"/>
          <w:color w:val="000000" w:themeColor="text1"/>
          <w:lang w:val="pl-PL"/>
        </w:rPr>
      </w:pPr>
      <w:bookmarkStart w:id="47" w:name="_Toc486537903"/>
      <w:r w:rsidRPr="00970FC6">
        <w:rPr>
          <w:rFonts w:eastAsia="Calibri"/>
          <w:color w:val="000000" w:themeColor="text1"/>
          <w:lang w:val="pl-PL"/>
        </w:rPr>
        <w:t>Ustalenie obecności czynników ryzyka sercowo-naczyniowego</w:t>
      </w:r>
      <w:bookmarkEnd w:id="47"/>
    </w:p>
    <w:p w14:paraId="78B67952" w14:textId="77777777" w:rsidR="00130CE2" w:rsidRDefault="00FE623D" w:rsidP="002E2531">
      <w:pPr>
        <w:rPr>
          <w:rFonts w:eastAsia="Calibri"/>
          <w:lang w:val="pl-PL"/>
        </w:rPr>
      </w:pPr>
      <w:r>
        <w:rPr>
          <w:rFonts w:eastAsia="Calibri"/>
          <w:lang w:val="pl-PL"/>
        </w:rPr>
        <w:t xml:space="preserve">Dowody naukowe wskazują na </w:t>
      </w:r>
      <w:proofErr w:type="spellStart"/>
      <w:r>
        <w:rPr>
          <w:rFonts w:eastAsia="Calibri"/>
          <w:lang w:val="pl-PL"/>
        </w:rPr>
        <w:t>PChN</w:t>
      </w:r>
      <w:proofErr w:type="spellEnd"/>
      <w:r>
        <w:rPr>
          <w:rFonts w:eastAsia="Calibri"/>
          <w:lang w:val="pl-PL"/>
        </w:rPr>
        <w:t xml:space="preserve"> jako istotny i niezależny czynnik </w:t>
      </w:r>
      <w:r w:rsidR="00F55719">
        <w:rPr>
          <w:rFonts w:eastAsia="Calibri"/>
          <w:lang w:val="pl-PL"/>
        </w:rPr>
        <w:t xml:space="preserve">ryzyka rozwoju </w:t>
      </w:r>
      <w:r>
        <w:rPr>
          <w:rFonts w:eastAsia="Calibri"/>
          <w:lang w:val="pl-PL"/>
        </w:rPr>
        <w:t>chorób sercowo-naczyniowych</w:t>
      </w:r>
      <w:r w:rsidR="00117680">
        <w:rPr>
          <w:rFonts w:eastAsia="Calibri"/>
          <w:lang w:val="pl-PL"/>
        </w:rPr>
        <w:t xml:space="preserve">. </w:t>
      </w:r>
      <w:r w:rsidR="002E2531">
        <w:rPr>
          <w:rFonts w:eastAsia="Calibri"/>
          <w:lang w:val="pl-PL"/>
        </w:rPr>
        <w:t>W porównaniu do ich rówieśników z populacji ogólnej, p</w:t>
      </w:r>
      <w:r w:rsidR="00130CE2">
        <w:rPr>
          <w:rFonts w:eastAsia="Calibri"/>
          <w:lang w:val="pl-PL"/>
        </w:rPr>
        <w:t xml:space="preserve">acjenci z </w:t>
      </w:r>
      <w:proofErr w:type="spellStart"/>
      <w:r w:rsidR="00130CE2">
        <w:rPr>
          <w:rFonts w:eastAsia="Calibri"/>
          <w:lang w:val="pl-PL"/>
        </w:rPr>
        <w:t>PChN</w:t>
      </w:r>
      <w:proofErr w:type="spellEnd"/>
      <w:r w:rsidR="00130CE2">
        <w:rPr>
          <w:rFonts w:eastAsia="Calibri"/>
          <w:lang w:val="pl-PL"/>
        </w:rPr>
        <w:t xml:space="preserve"> </w:t>
      </w:r>
      <w:r w:rsidR="00117680">
        <w:rPr>
          <w:rFonts w:eastAsia="Calibri"/>
          <w:lang w:val="pl-PL"/>
        </w:rPr>
        <w:t xml:space="preserve">umierają przedwcześnie </w:t>
      </w:r>
      <w:r w:rsidR="00130CE2">
        <w:rPr>
          <w:rFonts w:eastAsia="Calibri"/>
          <w:lang w:val="pl-PL"/>
        </w:rPr>
        <w:t>z</w:t>
      </w:r>
      <w:r w:rsidR="002E2531">
        <w:rPr>
          <w:rFonts w:eastAsia="Calibri"/>
          <w:lang w:val="pl-PL"/>
        </w:rPr>
        <w:t xml:space="preserve"> powodu chorób układu krążenia, takich jak c</w:t>
      </w:r>
      <w:r w:rsidR="002E2531" w:rsidRPr="002E2531">
        <w:rPr>
          <w:rFonts w:eastAsia="Calibri"/>
          <w:lang w:val="pl-PL"/>
        </w:rPr>
        <w:t>horoba wieńcowa</w:t>
      </w:r>
      <w:r w:rsidR="002E2531">
        <w:rPr>
          <w:rFonts w:eastAsia="Calibri"/>
          <w:lang w:val="pl-PL"/>
        </w:rPr>
        <w:t xml:space="preserve">, </w:t>
      </w:r>
      <w:r w:rsidR="002E2531" w:rsidRPr="002E2531">
        <w:rPr>
          <w:rFonts w:eastAsia="Calibri"/>
          <w:lang w:val="pl-PL"/>
        </w:rPr>
        <w:t>zawał mięśnia sercowego</w:t>
      </w:r>
      <w:r w:rsidR="002E2531">
        <w:rPr>
          <w:rFonts w:eastAsia="Calibri"/>
          <w:lang w:val="pl-PL"/>
        </w:rPr>
        <w:t xml:space="preserve">, </w:t>
      </w:r>
      <w:r w:rsidR="002E2531" w:rsidRPr="002E2531">
        <w:rPr>
          <w:rFonts w:eastAsia="Calibri"/>
          <w:lang w:val="pl-PL"/>
        </w:rPr>
        <w:t>zastoinowa niewydolność serca</w:t>
      </w:r>
      <w:r w:rsidR="002E2531">
        <w:rPr>
          <w:rFonts w:eastAsia="Calibri"/>
          <w:lang w:val="pl-PL"/>
        </w:rPr>
        <w:t xml:space="preserve">, </w:t>
      </w:r>
      <w:r w:rsidR="002E2531" w:rsidRPr="002E2531">
        <w:rPr>
          <w:rFonts w:eastAsia="Calibri"/>
          <w:lang w:val="pl-PL"/>
        </w:rPr>
        <w:t>choroby naczyń mózgowych</w:t>
      </w:r>
      <w:r w:rsidR="002E2531">
        <w:rPr>
          <w:rFonts w:eastAsia="Calibri"/>
          <w:lang w:val="pl-PL"/>
        </w:rPr>
        <w:t xml:space="preserve">, udar, </w:t>
      </w:r>
      <w:r w:rsidR="002E2531" w:rsidRPr="002E2531">
        <w:rPr>
          <w:rFonts w:eastAsia="Calibri"/>
          <w:lang w:val="pl-PL"/>
        </w:rPr>
        <w:t>migotanie przedsionków</w:t>
      </w:r>
      <w:r w:rsidR="00F22FB3">
        <w:rPr>
          <w:rFonts w:eastAsia="Calibri"/>
          <w:lang w:val="pl-PL"/>
        </w:rPr>
        <w:t xml:space="preserve">, </w:t>
      </w:r>
      <w:r w:rsidR="002E2531" w:rsidRPr="002E2531">
        <w:rPr>
          <w:rFonts w:eastAsia="Calibri"/>
          <w:lang w:val="pl-PL"/>
        </w:rPr>
        <w:t>choroba tętnic obwodowych</w:t>
      </w:r>
      <w:r w:rsidR="00F22FB3">
        <w:rPr>
          <w:rFonts w:eastAsia="Calibri"/>
          <w:lang w:val="pl-PL"/>
        </w:rPr>
        <w:t xml:space="preserve"> czy </w:t>
      </w:r>
      <w:r w:rsidR="002E2531" w:rsidRPr="002E2531">
        <w:rPr>
          <w:rFonts w:eastAsia="Calibri"/>
          <w:lang w:val="pl-PL"/>
        </w:rPr>
        <w:t>nagły zgon sercowy</w:t>
      </w:r>
      <w:r w:rsidR="00130CE2" w:rsidRPr="000B676E">
        <w:rPr>
          <w:rStyle w:val="Odwoanieprzypisudolnego"/>
          <w:rFonts w:eastAsia="Calibri"/>
          <w:sz w:val="22"/>
          <w:szCs w:val="22"/>
          <w:lang w:val="pl-PL"/>
        </w:rPr>
        <w:footnoteReference w:id="24"/>
      </w:r>
      <w:r w:rsidR="00130CE2" w:rsidRPr="000B676E">
        <w:rPr>
          <w:rFonts w:eastAsia="Calibri"/>
          <w:szCs w:val="22"/>
          <w:lang w:val="pl-PL"/>
        </w:rPr>
        <w:t>.</w:t>
      </w:r>
      <w:r w:rsidR="00130CE2">
        <w:rPr>
          <w:rFonts w:eastAsia="Calibri"/>
          <w:lang w:val="pl-PL"/>
        </w:rPr>
        <w:t xml:space="preserve"> </w:t>
      </w:r>
      <w:r w:rsidR="002E2531">
        <w:rPr>
          <w:rFonts w:eastAsia="Calibri"/>
          <w:lang w:val="pl-PL"/>
        </w:rPr>
        <w:t xml:space="preserve">Ponieważ prawdopodobieństwo zachorowania na choroby układu krążenia wzrasta z progresją </w:t>
      </w:r>
      <w:proofErr w:type="spellStart"/>
      <w:r w:rsidR="002E2531">
        <w:rPr>
          <w:rFonts w:eastAsia="Calibri"/>
          <w:lang w:val="pl-PL"/>
        </w:rPr>
        <w:t>PChN</w:t>
      </w:r>
      <w:proofErr w:type="spellEnd"/>
      <w:r w:rsidR="002E2531">
        <w:rPr>
          <w:rFonts w:eastAsia="Calibri"/>
          <w:lang w:val="pl-PL"/>
        </w:rPr>
        <w:t>, s</w:t>
      </w:r>
      <w:r w:rsidR="00117680">
        <w:rPr>
          <w:rFonts w:eastAsia="Calibri"/>
          <w:lang w:val="pl-PL"/>
        </w:rPr>
        <w:t xml:space="preserve">zczególnie u pacjentów dializowanych to ryzyko zgonu jest </w:t>
      </w:r>
      <w:r w:rsidR="002E2531">
        <w:rPr>
          <w:rFonts w:eastAsia="Calibri"/>
          <w:lang w:val="pl-PL"/>
        </w:rPr>
        <w:t>znacznie większe</w:t>
      </w:r>
      <w:r w:rsidR="00F22FB3">
        <w:rPr>
          <w:rFonts w:eastAsia="Calibri"/>
          <w:lang w:val="pl-PL"/>
        </w:rPr>
        <w:t xml:space="preserve"> i </w:t>
      </w:r>
      <w:r w:rsidR="00BF46E9">
        <w:rPr>
          <w:rFonts w:eastAsia="Calibri"/>
          <w:lang w:val="pl-PL"/>
        </w:rPr>
        <w:t>wzrasta</w:t>
      </w:r>
      <w:r w:rsidR="00F22FB3">
        <w:rPr>
          <w:rFonts w:eastAsia="Calibri"/>
          <w:lang w:val="pl-PL"/>
        </w:rPr>
        <w:t xml:space="preserve"> </w:t>
      </w:r>
      <w:r w:rsidR="002E2531">
        <w:rPr>
          <w:rFonts w:eastAsia="Calibri"/>
          <w:lang w:val="pl-PL"/>
        </w:rPr>
        <w:t xml:space="preserve">nawet </w:t>
      </w:r>
      <w:r w:rsidR="00117680">
        <w:rPr>
          <w:rFonts w:eastAsia="Calibri"/>
          <w:lang w:val="pl-PL"/>
        </w:rPr>
        <w:t>20-krotnie</w:t>
      </w:r>
      <w:r w:rsidR="00117680" w:rsidRPr="000B676E">
        <w:rPr>
          <w:rStyle w:val="Odwoanieprzypisudolnego"/>
          <w:rFonts w:eastAsia="Calibri"/>
          <w:sz w:val="22"/>
          <w:szCs w:val="22"/>
          <w:lang w:val="pl-PL"/>
        </w:rPr>
        <w:footnoteReference w:id="25"/>
      </w:r>
      <w:r w:rsidR="00117680">
        <w:rPr>
          <w:rFonts w:eastAsia="Calibri"/>
          <w:lang w:val="pl-PL"/>
        </w:rPr>
        <w:t xml:space="preserve">. </w:t>
      </w:r>
      <w:r w:rsidR="00130CE2">
        <w:rPr>
          <w:rFonts w:eastAsia="Calibri"/>
          <w:lang w:val="pl-PL"/>
        </w:rPr>
        <w:t xml:space="preserve">Do czynników ryzyka chorób sercowo-naczyniowych charakterystycznych dla upośledzenia </w:t>
      </w:r>
      <w:r w:rsidR="00130CE2">
        <w:rPr>
          <w:rFonts w:eastAsia="Calibri"/>
          <w:lang w:val="pl-PL"/>
        </w:rPr>
        <w:lastRenderedPageBreak/>
        <w:t>czynności nerek należą m.in.</w:t>
      </w:r>
      <w:r w:rsidR="00130CE2" w:rsidRPr="000B676E">
        <w:rPr>
          <w:rStyle w:val="Odwoanieprzypisudolnego"/>
          <w:rFonts w:eastAsia="Calibri"/>
          <w:sz w:val="22"/>
          <w:szCs w:val="22"/>
          <w:lang w:val="pl-PL"/>
        </w:rPr>
        <w:footnoteReference w:id="26"/>
      </w:r>
      <w:r w:rsidR="00130CE2" w:rsidRPr="000B676E">
        <w:rPr>
          <w:rFonts w:eastAsia="Calibri"/>
          <w:szCs w:val="22"/>
          <w:lang w:val="pl-PL"/>
        </w:rPr>
        <w:t>:</w:t>
      </w:r>
    </w:p>
    <w:p w14:paraId="0B59413E"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Albuminuria</w:t>
      </w:r>
    </w:p>
    <w:p w14:paraId="7A28A423"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proofErr w:type="spellStart"/>
      <w:r w:rsidRPr="00501063">
        <w:rPr>
          <w:rFonts w:eastAsia="Calibri"/>
          <w:sz w:val="22"/>
          <w:szCs w:val="22"/>
          <w:lang w:val="pl-PL"/>
        </w:rPr>
        <w:t>Przewodnienie</w:t>
      </w:r>
      <w:proofErr w:type="spellEnd"/>
    </w:p>
    <w:p w14:paraId="042DD0E6"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Stres oksydacyjny</w:t>
      </w:r>
    </w:p>
    <w:p w14:paraId="6CB3B688"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Stan zapalny</w:t>
      </w:r>
    </w:p>
    <w:p w14:paraId="456E7B56"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Niedożywienie</w:t>
      </w:r>
    </w:p>
    <w:p w14:paraId="3A7E7CDE"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proofErr w:type="spellStart"/>
      <w:r w:rsidRPr="00501063">
        <w:rPr>
          <w:rFonts w:eastAsia="Calibri"/>
          <w:sz w:val="22"/>
          <w:szCs w:val="22"/>
          <w:lang w:val="pl-PL"/>
        </w:rPr>
        <w:t>Glikacja</w:t>
      </w:r>
      <w:proofErr w:type="spellEnd"/>
      <w:r w:rsidRPr="00501063">
        <w:rPr>
          <w:rFonts w:eastAsia="Calibri"/>
          <w:sz w:val="22"/>
          <w:szCs w:val="22"/>
          <w:lang w:val="pl-PL"/>
        </w:rPr>
        <w:t xml:space="preserve"> białek</w:t>
      </w:r>
    </w:p>
    <w:p w14:paraId="21891655"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Nadczynność przytarczyc</w:t>
      </w:r>
    </w:p>
    <w:p w14:paraId="232A91DF"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Niedokrwistość</w:t>
      </w:r>
    </w:p>
    <w:p w14:paraId="332AED6E"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Zwłóknienie mięśnia sercowego</w:t>
      </w:r>
    </w:p>
    <w:p w14:paraId="10E37180" w14:textId="77777777" w:rsidR="00130CE2" w:rsidRPr="00501063" w:rsidRDefault="00682316" w:rsidP="00F84B72">
      <w:pPr>
        <w:pStyle w:val="EYBulletedList1"/>
        <w:numPr>
          <w:ilvl w:val="0"/>
          <w:numId w:val="11"/>
        </w:numPr>
        <w:ind w:left="289" w:hanging="289"/>
        <w:jc w:val="both"/>
        <w:rPr>
          <w:rFonts w:eastAsia="Calibri"/>
          <w:sz w:val="22"/>
          <w:szCs w:val="22"/>
          <w:lang w:val="pl-PL"/>
        </w:rPr>
      </w:pPr>
      <w:r>
        <w:rPr>
          <w:rFonts w:eastAsia="Calibri"/>
          <w:sz w:val="22"/>
          <w:szCs w:val="22"/>
          <w:lang w:val="pl-PL"/>
        </w:rPr>
        <w:t>Zaburzenia czynności śródbłonka</w:t>
      </w:r>
    </w:p>
    <w:p w14:paraId="0085FB7E" w14:textId="77777777" w:rsidR="00130CE2" w:rsidRPr="00501063" w:rsidRDefault="00130CE2" w:rsidP="00F84B72">
      <w:pPr>
        <w:pStyle w:val="EYBulletedList1"/>
        <w:numPr>
          <w:ilvl w:val="0"/>
          <w:numId w:val="11"/>
        </w:numPr>
        <w:ind w:left="289" w:hanging="289"/>
        <w:jc w:val="both"/>
        <w:rPr>
          <w:rFonts w:eastAsia="Calibri"/>
          <w:sz w:val="22"/>
          <w:szCs w:val="22"/>
          <w:lang w:val="pl-PL"/>
        </w:rPr>
      </w:pPr>
      <w:r w:rsidRPr="00501063">
        <w:rPr>
          <w:rFonts w:eastAsia="Calibri"/>
          <w:sz w:val="22"/>
          <w:szCs w:val="22"/>
          <w:lang w:val="pl-PL"/>
        </w:rPr>
        <w:t>Niedobór karnityny</w:t>
      </w:r>
    </w:p>
    <w:p w14:paraId="2F0DC8E5" w14:textId="77777777" w:rsidR="00130CE2" w:rsidRDefault="00130CE2" w:rsidP="00F84B72">
      <w:pPr>
        <w:pStyle w:val="EYBulletedList1"/>
        <w:numPr>
          <w:ilvl w:val="0"/>
          <w:numId w:val="11"/>
        </w:numPr>
        <w:ind w:left="289" w:hanging="289"/>
        <w:jc w:val="both"/>
        <w:rPr>
          <w:rFonts w:eastAsia="Calibri"/>
          <w:sz w:val="22"/>
          <w:szCs w:val="22"/>
          <w:lang w:val="pl-PL"/>
        </w:rPr>
      </w:pPr>
      <w:proofErr w:type="spellStart"/>
      <w:r w:rsidRPr="00501063">
        <w:rPr>
          <w:rFonts w:eastAsia="Calibri"/>
          <w:sz w:val="22"/>
          <w:szCs w:val="22"/>
          <w:lang w:val="pl-PL"/>
        </w:rPr>
        <w:t>Hiperhomocysteinemia</w:t>
      </w:r>
      <w:proofErr w:type="spellEnd"/>
    </w:p>
    <w:p w14:paraId="3EE0D4E8" w14:textId="5BDE65C9" w:rsidR="00A875F2" w:rsidRPr="008F28D6" w:rsidRDefault="00130CE2" w:rsidP="00FE623D">
      <w:pPr>
        <w:rPr>
          <w:rFonts w:eastAsia="Calibri"/>
          <w:lang w:val="pl-PL"/>
        </w:rPr>
      </w:pPr>
      <w:r>
        <w:rPr>
          <w:rFonts w:eastAsia="Calibri"/>
          <w:lang w:val="pl-PL"/>
        </w:rPr>
        <w:t>Z uwagi na szczególnie wysokie ryzyko występowania chorób serc</w:t>
      </w:r>
      <w:r w:rsidR="00FE623D">
        <w:rPr>
          <w:rFonts w:eastAsia="Calibri"/>
          <w:lang w:val="pl-PL"/>
        </w:rPr>
        <w:t>owo-</w:t>
      </w:r>
      <w:r>
        <w:rPr>
          <w:rFonts w:eastAsia="Calibri"/>
          <w:lang w:val="pl-PL"/>
        </w:rPr>
        <w:t>naczy</w:t>
      </w:r>
      <w:r w:rsidR="00FE623D">
        <w:rPr>
          <w:rFonts w:eastAsia="Calibri"/>
          <w:lang w:val="pl-PL"/>
        </w:rPr>
        <w:t xml:space="preserve">niowych </w:t>
      </w:r>
      <w:r>
        <w:rPr>
          <w:rFonts w:eastAsia="Calibri"/>
          <w:lang w:val="pl-PL"/>
        </w:rPr>
        <w:t>u</w:t>
      </w:r>
      <w:r w:rsidR="00FE623D">
        <w:rPr>
          <w:rFonts w:eastAsia="Calibri"/>
          <w:lang w:val="pl-PL"/>
        </w:rPr>
        <w:t> </w:t>
      </w:r>
      <w:r>
        <w:rPr>
          <w:rFonts w:eastAsia="Calibri"/>
          <w:lang w:val="pl-PL"/>
        </w:rPr>
        <w:t xml:space="preserve">pacjentów z </w:t>
      </w:r>
      <w:proofErr w:type="spellStart"/>
      <w:r>
        <w:rPr>
          <w:rFonts w:eastAsia="Calibri"/>
          <w:lang w:val="pl-PL"/>
        </w:rPr>
        <w:t>PChN</w:t>
      </w:r>
      <w:proofErr w:type="spellEnd"/>
      <w:r>
        <w:rPr>
          <w:rFonts w:eastAsia="Calibri"/>
          <w:lang w:val="pl-PL"/>
        </w:rPr>
        <w:t xml:space="preserve">, istotna jest profilaktyka tych chorób u wszystkich </w:t>
      </w:r>
      <w:r w:rsidR="00897BCD">
        <w:rPr>
          <w:rFonts w:eastAsia="Calibri"/>
          <w:lang w:val="pl-PL"/>
        </w:rPr>
        <w:t xml:space="preserve">chorych </w:t>
      </w:r>
      <w:r>
        <w:rPr>
          <w:rFonts w:eastAsia="Calibri"/>
          <w:lang w:val="pl-PL"/>
        </w:rPr>
        <w:t xml:space="preserve">dotkniętych </w:t>
      </w:r>
      <w:proofErr w:type="spellStart"/>
      <w:r>
        <w:rPr>
          <w:rFonts w:eastAsia="Calibri"/>
          <w:lang w:val="pl-PL"/>
        </w:rPr>
        <w:t>PChN</w:t>
      </w:r>
      <w:proofErr w:type="spellEnd"/>
      <w:r>
        <w:rPr>
          <w:rFonts w:eastAsia="Calibri"/>
          <w:lang w:val="pl-PL"/>
        </w:rPr>
        <w:t xml:space="preserve">. Typowe zalecenia profilaktyczne chorób układu krążenia dotyczą przede wszystkim zmiany stylu życia, </w:t>
      </w:r>
      <w:r w:rsidR="00D21795">
        <w:rPr>
          <w:rFonts w:eastAsia="Calibri"/>
          <w:lang w:val="pl-PL"/>
        </w:rPr>
        <w:t>zaprzestania</w:t>
      </w:r>
      <w:r>
        <w:rPr>
          <w:rFonts w:eastAsia="Calibri"/>
          <w:lang w:val="pl-PL"/>
        </w:rPr>
        <w:t xml:space="preserve"> palenia tytoniu, podjęci</w:t>
      </w:r>
      <w:r w:rsidR="002E2531">
        <w:rPr>
          <w:rFonts w:eastAsia="Calibri"/>
          <w:lang w:val="pl-PL"/>
        </w:rPr>
        <w:t>a</w:t>
      </w:r>
      <w:r>
        <w:rPr>
          <w:rFonts w:eastAsia="Calibri"/>
          <w:lang w:val="pl-PL"/>
        </w:rPr>
        <w:t xml:space="preserve"> aktywności fizycznej, </w:t>
      </w:r>
      <w:r w:rsidR="002E2531">
        <w:rPr>
          <w:rFonts w:eastAsia="Calibri"/>
          <w:lang w:val="pl-PL"/>
        </w:rPr>
        <w:t xml:space="preserve">leczenia cukrzycy i </w:t>
      </w:r>
      <w:r>
        <w:rPr>
          <w:rFonts w:eastAsia="Calibri"/>
          <w:lang w:val="pl-PL"/>
        </w:rPr>
        <w:t>redukcj</w:t>
      </w:r>
      <w:r w:rsidR="002E2531">
        <w:rPr>
          <w:rFonts w:eastAsia="Calibri"/>
          <w:lang w:val="pl-PL"/>
        </w:rPr>
        <w:t>i</w:t>
      </w:r>
      <w:r>
        <w:rPr>
          <w:rFonts w:eastAsia="Calibri"/>
          <w:lang w:val="pl-PL"/>
        </w:rPr>
        <w:t xml:space="preserve"> masy c</w:t>
      </w:r>
      <w:r w:rsidR="002E2531">
        <w:rPr>
          <w:rFonts w:eastAsia="Calibri"/>
          <w:lang w:val="pl-PL"/>
        </w:rPr>
        <w:t>iała u osób otyłych, zachowania</w:t>
      </w:r>
      <w:r>
        <w:rPr>
          <w:rFonts w:eastAsia="Calibri"/>
          <w:lang w:val="pl-PL"/>
        </w:rPr>
        <w:t xml:space="preserve"> odpowiedniej diety. </w:t>
      </w:r>
      <w:r w:rsidRPr="003F44FD">
        <w:rPr>
          <w:rFonts w:eastAsia="Calibri"/>
          <w:szCs w:val="22"/>
          <w:lang w:val="pl-PL"/>
        </w:rPr>
        <w:t>Dodatkowo należy kontrolowa</w:t>
      </w:r>
      <w:r w:rsidR="002E2531">
        <w:rPr>
          <w:rFonts w:eastAsia="Calibri"/>
          <w:szCs w:val="22"/>
          <w:lang w:val="pl-PL"/>
        </w:rPr>
        <w:t xml:space="preserve">ć poziom ciśnienia tętniczego </w:t>
      </w:r>
      <w:r w:rsidR="00F55719">
        <w:rPr>
          <w:rFonts w:eastAsia="Calibri"/>
          <w:szCs w:val="22"/>
          <w:lang w:val="pl-PL"/>
        </w:rPr>
        <w:t xml:space="preserve">krwi </w:t>
      </w:r>
      <w:r w:rsidRPr="003F44FD">
        <w:rPr>
          <w:rFonts w:eastAsia="Calibri"/>
          <w:szCs w:val="22"/>
          <w:lang w:val="pl-PL"/>
        </w:rPr>
        <w:t xml:space="preserve">oraz podjąć leczenie </w:t>
      </w:r>
      <w:proofErr w:type="spellStart"/>
      <w:r w:rsidRPr="003F44FD">
        <w:rPr>
          <w:rFonts w:eastAsia="Calibri"/>
          <w:szCs w:val="22"/>
          <w:lang w:val="pl-PL"/>
        </w:rPr>
        <w:t>dyslipidemii</w:t>
      </w:r>
      <w:proofErr w:type="spellEnd"/>
      <w:r w:rsidRPr="003F44FD">
        <w:rPr>
          <w:rStyle w:val="Odwoanieprzypisudolnego"/>
          <w:rFonts w:eastAsia="Calibri"/>
          <w:sz w:val="22"/>
          <w:szCs w:val="22"/>
          <w:lang w:val="pl-PL"/>
        </w:rPr>
        <w:footnoteReference w:id="27"/>
      </w:r>
      <w:r w:rsidR="00477B20" w:rsidRPr="003F44FD">
        <w:rPr>
          <w:rFonts w:eastAsia="Calibri"/>
          <w:szCs w:val="22"/>
          <w:lang w:val="pl-PL"/>
        </w:rPr>
        <w:t>.</w:t>
      </w:r>
      <w:r w:rsidR="00FE623D">
        <w:rPr>
          <w:rFonts w:eastAsia="Calibri"/>
          <w:szCs w:val="22"/>
          <w:lang w:val="pl-PL"/>
        </w:rPr>
        <w:t xml:space="preserve"> </w:t>
      </w:r>
      <w:r w:rsidR="00FE623D">
        <w:rPr>
          <w:rFonts w:eastAsia="Calibri"/>
          <w:lang w:val="pl-PL"/>
        </w:rPr>
        <w:t>Szczegółowy opis leczenia i profilaktyki chorób sercowo-naczyniowych wykracza poza zakres niniejszego opracowania.</w:t>
      </w:r>
      <w:r w:rsidR="007C4B35" w:rsidRPr="007C4B35">
        <w:rPr>
          <w:rFonts w:eastAsia="Calibri"/>
          <w:lang w:val="pl-PL"/>
        </w:rPr>
        <w:t xml:space="preserve"> </w:t>
      </w:r>
    </w:p>
    <w:p w14:paraId="525493D8" w14:textId="77777777" w:rsidR="002A2DDD" w:rsidRPr="00970FC6" w:rsidRDefault="002A2DDD" w:rsidP="00BD05A0">
      <w:pPr>
        <w:pStyle w:val="EYHeading3"/>
        <w:rPr>
          <w:rFonts w:eastAsia="Calibri"/>
          <w:color w:val="000000" w:themeColor="text1"/>
          <w:lang w:val="pl-PL"/>
        </w:rPr>
      </w:pPr>
      <w:bookmarkStart w:id="48" w:name="_Toc486537904"/>
      <w:r w:rsidRPr="00970FC6">
        <w:rPr>
          <w:rFonts w:eastAsia="Calibri"/>
          <w:color w:val="000000" w:themeColor="text1"/>
          <w:lang w:val="pl-PL"/>
        </w:rPr>
        <w:t>Obraz kliniczny przewlekłej choroby nerek</w:t>
      </w:r>
      <w:bookmarkEnd w:id="48"/>
    </w:p>
    <w:p w14:paraId="11B8B99C" w14:textId="77777777" w:rsidR="00F80890" w:rsidRDefault="00927FD7" w:rsidP="00501063">
      <w:pPr>
        <w:rPr>
          <w:lang w:val="pl-PL"/>
        </w:rPr>
      </w:pPr>
      <w:r>
        <w:rPr>
          <w:rFonts w:eastAsia="Calibri"/>
          <w:szCs w:val="22"/>
          <w:lang w:val="pl-PL"/>
        </w:rPr>
        <w:t xml:space="preserve">W zależności od przyczyny </w:t>
      </w:r>
      <w:proofErr w:type="spellStart"/>
      <w:r>
        <w:rPr>
          <w:rFonts w:eastAsia="Calibri"/>
          <w:szCs w:val="22"/>
          <w:lang w:val="pl-PL"/>
        </w:rPr>
        <w:t>PChN</w:t>
      </w:r>
      <w:proofErr w:type="spellEnd"/>
      <w:r>
        <w:rPr>
          <w:rFonts w:eastAsia="Calibri"/>
          <w:szCs w:val="22"/>
          <w:lang w:val="pl-PL"/>
        </w:rPr>
        <w:t xml:space="preserve"> (choroby podstawowej) i stopnia zaawansowania choroby zmienia się jej obraz </w:t>
      </w:r>
      <w:r w:rsidR="00475E0C" w:rsidRPr="00501063">
        <w:rPr>
          <w:rFonts w:eastAsia="Calibri"/>
          <w:szCs w:val="22"/>
          <w:lang w:val="pl-PL"/>
        </w:rPr>
        <w:t xml:space="preserve">kliniczny </w:t>
      </w:r>
      <w:r>
        <w:rPr>
          <w:rFonts w:eastAsia="Calibri"/>
          <w:szCs w:val="22"/>
          <w:lang w:val="pl-PL"/>
        </w:rPr>
        <w:t xml:space="preserve">i </w:t>
      </w:r>
      <w:r w:rsidR="00F80890">
        <w:rPr>
          <w:rFonts w:eastAsia="Calibri"/>
          <w:szCs w:val="22"/>
          <w:lang w:val="pl-PL"/>
        </w:rPr>
        <w:t>towarzyszące</w:t>
      </w:r>
      <w:r>
        <w:rPr>
          <w:rFonts w:eastAsia="Calibri"/>
          <w:szCs w:val="22"/>
          <w:lang w:val="pl-PL"/>
        </w:rPr>
        <w:t xml:space="preserve"> objawy</w:t>
      </w:r>
      <w:r w:rsidR="00475E0C" w:rsidRPr="00501063">
        <w:rPr>
          <w:rStyle w:val="Odwoanieprzypisudolnego"/>
          <w:rFonts w:eastAsia="Calibri"/>
          <w:sz w:val="22"/>
          <w:szCs w:val="22"/>
          <w:lang w:val="pl-PL"/>
        </w:rPr>
        <w:footnoteReference w:id="28"/>
      </w:r>
      <w:r>
        <w:rPr>
          <w:rFonts w:eastAsia="Calibri"/>
          <w:szCs w:val="22"/>
          <w:lang w:val="pl-PL"/>
        </w:rPr>
        <w:t xml:space="preserve">. </w:t>
      </w:r>
      <w:r w:rsidR="006F00B3">
        <w:rPr>
          <w:lang w:val="pl-PL"/>
        </w:rPr>
        <w:t xml:space="preserve">W początkowych stadiach (kategorie G1-G2) </w:t>
      </w:r>
      <w:r w:rsidR="00874183">
        <w:rPr>
          <w:lang w:val="pl-PL"/>
        </w:rPr>
        <w:t xml:space="preserve">choroba </w:t>
      </w:r>
      <w:r w:rsidR="006F00B3">
        <w:rPr>
          <w:lang w:val="pl-PL"/>
        </w:rPr>
        <w:t xml:space="preserve">może przebiegać bezobjawowo bądź z objawami niecharakterystycznymi dla </w:t>
      </w:r>
      <w:proofErr w:type="spellStart"/>
      <w:r w:rsidR="006F00B3">
        <w:rPr>
          <w:lang w:val="pl-PL"/>
        </w:rPr>
        <w:t>PChN</w:t>
      </w:r>
      <w:proofErr w:type="spellEnd"/>
      <w:r w:rsidR="006F00B3">
        <w:rPr>
          <w:lang w:val="pl-PL"/>
        </w:rPr>
        <w:t xml:space="preserve">. Wraz ze wzrostem stopnia zaawansowania </w:t>
      </w:r>
      <w:proofErr w:type="spellStart"/>
      <w:r w:rsidR="006F00B3">
        <w:rPr>
          <w:lang w:val="pl-PL"/>
        </w:rPr>
        <w:t>PChN</w:t>
      </w:r>
      <w:proofErr w:type="spellEnd"/>
      <w:r w:rsidR="006F00B3">
        <w:rPr>
          <w:lang w:val="pl-PL"/>
        </w:rPr>
        <w:t xml:space="preserve"> (</w:t>
      </w:r>
      <w:r w:rsidR="00F80890">
        <w:rPr>
          <w:lang w:val="pl-PL"/>
        </w:rPr>
        <w:t xml:space="preserve">tj. </w:t>
      </w:r>
      <w:r w:rsidR="006F00B3">
        <w:rPr>
          <w:lang w:val="pl-PL"/>
        </w:rPr>
        <w:t xml:space="preserve">zmniejszania się </w:t>
      </w:r>
      <w:r w:rsidR="009E552F">
        <w:rPr>
          <w:lang w:val="pl-PL"/>
        </w:rPr>
        <w:t>filtracji kłębuszkowej, GFR</w:t>
      </w:r>
      <w:r w:rsidR="006F00B3">
        <w:rPr>
          <w:lang w:val="pl-PL"/>
        </w:rPr>
        <w:t>) pojawiają się u pacjentów coraz częściej charakterystyczne dla tej choroby objawy i powikłania.</w:t>
      </w:r>
    </w:p>
    <w:p w14:paraId="76B55DFA" w14:textId="0E04591C" w:rsidR="00202FA3" w:rsidRDefault="006F00B3" w:rsidP="00501063">
      <w:pPr>
        <w:rPr>
          <w:lang w:val="pl-PL"/>
        </w:rPr>
      </w:pPr>
      <w:r>
        <w:rPr>
          <w:lang w:val="pl-PL"/>
        </w:rPr>
        <w:t xml:space="preserve">Objawy kliniczne, zarówno te charakterystyczne, jak i niecharakterystyczne dla </w:t>
      </w:r>
      <w:proofErr w:type="spellStart"/>
      <w:r>
        <w:rPr>
          <w:lang w:val="pl-PL"/>
        </w:rPr>
        <w:t>PChN</w:t>
      </w:r>
      <w:proofErr w:type="spellEnd"/>
      <w:r>
        <w:rPr>
          <w:lang w:val="pl-PL"/>
        </w:rPr>
        <w:t xml:space="preserve">, przedstawiono w tabeli </w:t>
      </w:r>
      <w:r w:rsidR="001E35A3">
        <w:rPr>
          <w:lang w:val="pl-PL"/>
        </w:rPr>
        <w:t>7</w:t>
      </w:r>
      <w:r>
        <w:rPr>
          <w:lang w:val="pl-PL"/>
        </w:rPr>
        <w:t>.</w:t>
      </w:r>
    </w:p>
    <w:p w14:paraId="26E32487" w14:textId="57DB4849" w:rsidR="00A72683" w:rsidRPr="00A72683" w:rsidRDefault="00A72683" w:rsidP="00A72683">
      <w:pPr>
        <w:pStyle w:val="Legenda"/>
        <w:keepNext/>
        <w:rPr>
          <w:b/>
          <w:i w:val="0"/>
          <w:color w:val="auto"/>
        </w:rPr>
      </w:pPr>
      <w:bookmarkStart w:id="49" w:name="_Toc486537970"/>
      <w:proofErr w:type="spellStart"/>
      <w:r w:rsidRPr="00A72683">
        <w:rPr>
          <w:b/>
          <w:i w:val="0"/>
          <w:color w:val="auto"/>
        </w:rPr>
        <w:t>Tabela</w:t>
      </w:r>
      <w:proofErr w:type="spellEnd"/>
      <w:r w:rsidRPr="00A72683">
        <w:rPr>
          <w:b/>
          <w:i w:val="0"/>
          <w:color w:val="auto"/>
        </w:rPr>
        <w:t xml:space="preserve"> </w:t>
      </w:r>
      <w:r w:rsidRPr="00A72683">
        <w:rPr>
          <w:b/>
          <w:i w:val="0"/>
          <w:color w:val="auto"/>
        </w:rPr>
        <w:fldChar w:fldCharType="begin"/>
      </w:r>
      <w:r w:rsidRPr="00A72683">
        <w:rPr>
          <w:b/>
          <w:i w:val="0"/>
          <w:color w:val="auto"/>
        </w:rPr>
        <w:instrText xml:space="preserve"> SEQ Tabela \* ARABIC </w:instrText>
      </w:r>
      <w:r w:rsidRPr="00A72683">
        <w:rPr>
          <w:b/>
          <w:i w:val="0"/>
          <w:color w:val="auto"/>
        </w:rPr>
        <w:fldChar w:fldCharType="separate"/>
      </w:r>
      <w:r w:rsidR="005C7285">
        <w:rPr>
          <w:b/>
          <w:i w:val="0"/>
          <w:noProof/>
          <w:color w:val="auto"/>
        </w:rPr>
        <w:t>7</w:t>
      </w:r>
      <w:r w:rsidRPr="00A72683">
        <w:rPr>
          <w:b/>
          <w:i w:val="0"/>
          <w:color w:val="auto"/>
        </w:rPr>
        <w:fldChar w:fldCharType="end"/>
      </w:r>
      <w:r w:rsidRPr="00A72683">
        <w:rPr>
          <w:b/>
          <w:i w:val="0"/>
          <w:color w:val="auto"/>
        </w:rPr>
        <w:t xml:space="preserve"> </w:t>
      </w:r>
      <w:proofErr w:type="spellStart"/>
      <w:r w:rsidRPr="00A72683">
        <w:rPr>
          <w:b/>
          <w:i w:val="0"/>
          <w:color w:val="auto"/>
        </w:rPr>
        <w:t>Objawy</w:t>
      </w:r>
      <w:proofErr w:type="spellEnd"/>
      <w:r w:rsidRPr="00A72683">
        <w:rPr>
          <w:b/>
          <w:i w:val="0"/>
          <w:color w:val="auto"/>
        </w:rPr>
        <w:t xml:space="preserve"> </w:t>
      </w:r>
      <w:proofErr w:type="spellStart"/>
      <w:r w:rsidRPr="00A72683">
        <w:rPr>
          <w:b/>
          <w:i w:val="0"/>
          <w:color w:val="auto"/>
        </w:rPr>
        <w:t>kliniczne</w:t>
      </w:r>
      <w:proofErr w:type="spellEnd"/>
      <w:r w:rsidRPr="00A72683">
        <w:rPr>
          <w:b/>
          <w:i w:val="0"/>
          <w:color w:val="auto"/>
        </w:rPr>
        <w:t xml:space="preserve"> </w:t>
      </w:r>
      <w:proofErr w:type="spellStart"/>
      <w:r w:rsidRPr="00A72683">
        <w:rPr>
          <w:b/>
          <w:i w:val="0"/>
          <w:color w:val="auto"/>
        </w:rPr>
        <w:t>PChN</w:t>
      </w:r>
      <w:bookmarkEnd w:id="49"/>
      <w:proofErr w:type="spellEnd"/>
    </w:p>
    <w:tbl>
      <w:tblPr>
        <w:tblStyle w:val="Tabela-Siatka"/>
        <w:tblW w:w="9072"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5"/>
        <w:gridCol w:w="6237"/>
      </w:tblGrid>
      <w:tr w:rsidR="006F00B3" w:rsidRPr="0002448D" w14:paraId="700E71B5" w14:textId="77777777" w:rsidTr="00874183">
        <w:tc>
          <w:tcPr>
            <w:tcW w:w="9072" w:type="dxa"/>
            <w:gridSpan w:val="2"/>
            <w:shd w:val="clear" w:color="auto" w:fill="FFE600"/>
            <w:vAlign w:val="center"/>
          </w:tcPr>
          <w:p w14:paraId="72FD0750" w14:textId="77777777" w:rsidR="006F00B3" w:rsidRPr="0002448D" w:rsidRDefault="00A72683" w:rsidP="00EA3DA5">
            <w:pPr>
              <w:spacing w:before="60" w:after="60" w:line="240" w:lineRule="auto"/>
              <w:jc w:val="left"/>
              <w:rPr>
                <w:rFonts w:eastAsia="Calibri"/>
                <w:b/>
                <w:sz w:val="18"/>
                <w:szCs w:val="18"/>
                <w:lang w:val="pl-PL"/>
              </w:rPr>
            </w:pPr>
            <w:r w:rsidRPr="00EA3DA5">
              <w:rPr>
                <w:rFonts w:eastAsia="Calibri"/>
                <w:b/>
                <w:sz w:val="18"/>
                <w:szCs w:val="18"/>
                <w:lang w:val="pl-PL"/>
              </w:rPr>
              <w:t>O</w:t>
            </w:r>
            <w:r w:rsidR="00202FA3" w:rsidRPr="00EA3DA5">
              <w:rPr>
                <w:rFonts w:eastAsia="Calibri"/>
                <w:b/>
                <w:sz w:val="18"/>
                <w:szCs w:val="18"/>
                <w:lang w:val="pl-PL"/>
              </w:rPr>
              <w:t>bjaw</w:t>
            </w:r>
            <w:r w:rsidRPr="00EA3DA5">
              <w:rPr>
                <w:rFonts w:eastAsia="Calibri"/>
                <w:b/>
                <w:sz w:val="18"/>
                <w:szCs w:val="18"/>
                <w:lang w:val="pl-PL"/>
              </w:rPr>
              <w:t>y kliniczne</w:t>
            </w:r>
            <w:r w:rsidR="00202FA3" w:rsidRPr="00EA3DA5">
              <w:rPr>
                <w:rFonts w:eastAsia="Calibri"/>
                <w:b/>
                <w:sz w:val="18"/>
                <w:szCs w:val="18"/>
                <w:lang w:val="pl-PL"/>
              </w:rPr>
              <w:t xml:space="preserve"> </w:t>
            </w:r>
            <w:proofErr w:type="spellStart"/>
            <w:r w:rsidR="00202FA3" w:rsidRPr="00EA3DA5">
              <w:rPr>
                <w:rFonts w:eastAsia="Calibri"/>
                <w:b/>
                <w:sz w:val="18"/>
                <w:szCs w:val="18"/>
                <w:lang w:val="pl-PL"/>
              </w:rPr>
              <w:t>PChN</w:t>
            </w:r>
            <w:proofErr w:type="spellEnd"/>
          </w:p>
        </w:tc>
      </w:tr>
      <w:tr w:rsidR="006F00B3" w:rsidRPr="0002448D" w14:paraId="07B1C9F4" w14:textId="77777777" w:rsidTr="00A72683">
        <w:tc>
          <w:tcPr>
            <w:tcW w:w="2835" w:type="dxa"/>
            <w:shd w:val="clear" w:color="auto" w:fill="F2F2F2" w:themeFill="background1" w:themeFillShade="F2"/>
            <w:vAlign w:val="center"/>
          </w:tcPr>
          <w:p w14:paraId="752D3173" w14:textId="77777777" w:rsidR="006F00B3" w:rsidRPr="00202FA3" w:rsidRDefault="00202FA3" w:rsidP="00F84B72">
            <w:pPr>
              <w:pStyle w:val="Akapitzlist"/>
              <w:numPr>
                <w:ilvl w:val="0"/>
                <w:numId w:val="12"/>
              </w:numPr>
              <w:spacing w:before="60" w:after="60" w:line="240" w:lineRule="auto"/>
              <w:ind w:left="318" w:hanging="284"/>
              <w:jc w:val="left"/>
              <w:rPr>
                <w:rFonts w:eastAsia="Calibri"/>
                <w:sz w:val="18"/>
                <w:szCs w:val="18"/>
                <w:lang w:val="pl-PL"/>
              </w:rPr>
            </w:pPr>
            <w:r w:rsidRPr="00202FA3">
              <w:rPr>
                <w:rFonts w:eastAsia="Calibri"/>
                <w:sz w:val="18"/>
                <w:szCs w:val="18"/>
                <w:lang w:val="pl-PL"/>
              </w:rPr>
              <w:t>Objawy ogólne</w:t>
            </w:r>
          </w:p>
        </w:tc>
        <w:tc>
          <w:tcPr>
            <w:tcW w:w="6237" w:type="dxa"/>
            <w:shd w:val="clear" w:color="auto" w:fill="auto"/>
            <w:vAlign w:val="center"/>
          </w:tcPr>
          <w:p w14:paraId="61CEFCFD"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Osłabienie</w:t>
            </w:r>
          </w:p>
          <w:p w14:paraId="5CCC6B9F"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lastRenderedPageBreak/>
              <w:t>Męczliwość</w:t>
            </w:r>
          </w:p>
          <w:p w14:paraId="29499A50" w14:textId="77777777" w:rsidR="006F00B3" w:rsidRP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Hipotermia</w:t>
            </w:r>
          </w:p>
        </w:tc>
      </w:tr>
      <w:tr w:rsidR="006F00B3" w:rsidRPr="0002448D" w14:paraId="700CE712" w14:textId="77777777" w:rsidTr="00A72683">
        <w:tc>
          <w:tcPr>
            <w:tcW w:w="2835" w:type="dxa"/>
            <w:shd w:val="clear" w:color="auto" w:fill="F2F2F2" w:themeFill="background1" w:themeFillShade="F2"/>
            <w:vAlign w:val="center"/>
          </w:tcPr>
          <w:p w14:paraId="4A9D55C7" w14:textId="77777777" w:rsidR="006F00B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Pr>
                <w:rFonts w:eastAsia="Calibri"/>
                <w:sz w:val="18"/>
                <w:szCs w:val="18"/>
                <w:lang w:val="pl-PL"/>
              </w:rPr>
              <w:lastRenderedPageBreak/>
              <w:t>Objawy skórne</w:t>
            </w:r>
          </w:p>
        </w:tc>
        <w:tc>
          <w:tcPr>
            <w:tcW w:w="6237" w:type="dxa"/>
            <w:shd w:val="clear" w:color="auto" w:fill="auto"/>
            <w:vAlign w:val="center"/>
          </w:tcPr>
          <w:p w14:paraId="10F09FB8" w14:textId="77777777" w:rsidR="006F00B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Bladość</w:t>
            </w:r>
          </w:p>
          <w:p w14:paraId="7A2C02F3"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Suchość</w:t>
            </w:r>
          </w:p>
          <w:p w14:paraId="057A0B75"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proofErr w:type="spellStart"/>
            <w:r>
              <w:rPr>
                <w:sz w:val="18"/>
                <w:szCs w:val="18"/>
                <w:lang w:val="pl-PL"/>
              </w:rPr>
              <w:t>Ziemistobrunatny</w:t>
            </w:r>
            <w:proofErr w:type="spellEnd"/>
            <w:r>
              <w:rPr>
                <w:sz w:val="18"/>
                <w:szCs w:val="18"/>
                <w:lang w:val="pl-PL"/>
              </w:rPr>
              <w:t xml:space="preserve"> odcień</w:t>
            </w:r>
          </w:p>
          <w:p w14:paraId="36163FA0"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Wybroczyny</w:t>
            </w:r>
          </w:p>
          <w:p w14:paraId="0E93B8D7"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Świąd</w:t>
            </w:r>
          </w:p>
          <w:p w14:paraId="5426D02B" w14:textId="77777777" w:rsidR="00202FA3" w:rsidRPr="0002448D"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Szron mocznicowy</w:t>
            </w:r>
          </w:p>
        </w:tc>
      </w:tr>
      <w:tr w:rsidR="006F00B3" w:rsidRPr="0002448D" w14:paraId="5E572F7A" w14:textId="77777777" w:rsidTr="00A72683">
        <w:tc>
          <w:tcPr>
            <w:tcW w:w="2835" w:type="dxa"/>
            <w:shd w:val="clear" w:color="auto" w:fill="F2F2F2" w:themeFill="background1" w:themeFillShade="F2"/>
            <w:vAlign w:val="center"/>
          </w:tcPr>
          <w:p w14:paraId="3A099B7F" w14:textId="77777777" w:rsidR="006F00B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t>Zaburzenia w układzie krążenia</w:t>
            </w:r>
          </w:p>
        </w:tc>
        <w:tc>
          <w:tcPr>
            <w:tcW w:w="6237" w:type="dxa"/>
            <w:shd w:val="clear" w:color="auto" w:fill="auto"/>
            <w:vAlign w:val="center"/>
          </w:tcPr>
          <w:p w14:paraId="1D9F17A7" w14:textId="77777777" w:rsidR="006F00B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Nadciśnienie tętnicze albo hipotensja</w:t>
            </w:r>
          </w:p>
          <w:p w14:paraId="7B5B2433"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Przerost lewej komory</w:t>
            </w:r>
          </w:p>
          <w:p w14:paraId="7288C41E"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Zaburzenia rytmu serca</w:t>
            </w:r>
          </w:p>
          <w:p w14:paraId="03D89C07"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Niewydolność serca</w:t>
            </w:r>
          </w:p>
          <w:p w14:paraId="27E66607"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Zapalenie osierdzia</w:t>
            </w:r>
          </w:p>
          <w:p w14:paraId="4CE4D7D5" w14:textId="77777777" w:rsidR="00202FA3"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Przyśpieszona miażdżyca</w:t>
            </w:r>
          </w:p>
          <w:p w14:paraId="0238F68D" w14:textId="77777777" w:rsidR="00202FA3" w:rsidRPr="0002448D" w:rsidRDefault="00202FA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Zwapnienia naczyń</w:t>
            </w:r>
          </w:p>
        </w:tc>
      </w:tr>
      <w:tr w:rsidR="006F00B3" w:rsidRPr="0002448D" w14:paraId="71524A10" w14:textId="77777777" w:rsidTr="00A72683">
        <w:tc>
          <w:tcPr>
            <w:tcW w:w="2835" w:type="dxa"/>
            <w:shd w:val="clear" w:color="auto" w:fill="F2F2F2" w:themeFill="background1" w:themeFillShade="F2"/>
            <w:vAlign w:val="center"/>
          </w:tcPr>
          <w:p w14:paraId="51C53443" w14:textId="77777777" w:rsidR="006F00B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t>Zaburzenia w układzie oddechowym</w:t>
            </w:r>
          </w:p>
        </w:tc>
        <w:tc>
          <w:tcPr>
            <w:tcW w:w="6237" w:type="dxa"/>
            <w:shd w:val="clear" w:color="auto" w:fill="auto"/>
            <w:vAlign w:val="center"/>
          </w:tcPr>
          <w:p w14:paraId="1572D020" w14:textId="77777777" w:rsidR="006F00B3"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Oddech </w:t>
            </w:r>
            <w:proofErr w:type="spellStart"/>
            <w:r>
              <w:rPr>
                <w:sz w:val="18"/>
                <w:szCs w:val="18"/>
                <w:lang w:val="pl-PL"/>
              </w:rPr>
              <w:t>kwasiczy</w:t>
            </w:r>
            <w:proofErr w:type="spellEnd"/>
          </w:p>
          <w:p w14:paraId="70A710AC"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Mocznicowe zapalenie opłucnej</w:t>
            </w:r>
          </w:p>
          <w:p w14:paraId="54378767" w14:textId="77777777" w:rsidR="00382176" w:rsidRP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Przekrwienie i obrzęk płuc</w:t>
            </w:r>
          </w:p>
        </w:tc>
      </w:tr>
      <w:tr w:rsidR="006F00B3" w:rsidRPr="0002448D" w14:paraId="480A88DB" w14:textId="77777777" w:rsidTr="00A72683">
        <w:tc>
          <w:tcPr>
            <w:tcW w:w="2835" w:type="dxa"/>
            <w:shd w:val="clear" w:color="auto" w:fill="F2F2F2" w:themeFill="background1" w:themeFillShade="F2"/>
            <w:vAlign w:val="center"/>
          </w:tcPr>
          <w:p w14:paraId="7CF04B3C" w14:textId="77777777" w:rsidR="006F00B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t>Zaburzenia w układzie pokarmowym</w:t>
            </w:r>
          </w:p>
        </w:tc>
        <w:tc>
          <w:tcPr>
            <w:tcW w:w="6237" w:type="dxa"/>
            <w:shd w:val="clear" w:color="auto" w:fill="auto"/>
            <w:vAlign w:val="center"/>
          </w:tcPr>
          <w:p w14:paraId="29832DB7" w14:textId="77777777" w:rsidR="006F00B3"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Utrata łaknienia</w:t>
            </w:r>
          </w:p>
          <w:p w14:paraId="287D9522"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Nudności i wymioty</w:t>
            </w:r>
          </w:p>
          <w:p w14:paraId="74CEF00C"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Mocznicowy zapach z ust</w:t>
            </w:r>
          </w:p>
          <w:p w14:paraId="41DBED20"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Zapalenie błony śluzowej żołądka i jelit</w:t>
            </w:r>
          </w:p>
          <w:p w14:paraId="2D24CCB4"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Wrzód trawienny żołądka lub dwunastnicy</w:t>
            </w:r>
          </w:p>
          <w:p w14:paraId="77CDD454" w14:textId="4E51B3C8" w:rsidR="00382176" w:rsidRDefault="00BE6849"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Krwawienie </w:t>
            </w:r>
            <w:r w:rsidR="00897BCD">
              <w:rPr>
                <w:sz w:val="18"/>
                <w:szCs w:val="18"/>
                <w:lang w:val="pl-PL"/>
              </w:rPr>
              <w:t xml:space="preserve">z </w:t>
            </w:r>
            <w:r>
              <w:rPr>
                <w:sz w:val="18"/>
                <w:szCs w:val="18"/>
                <w:lang w:val="pl-PL"/>
              </w:rPr>
              <w:t>przewodu</w:t>
            </w:r>
            <w:r w:rsidR="00382176">
              <w:rPr>
                <w:sz w:val="18"/>
                <w:szCs w:val="18"/>
                <w:lang w:val="pl-PL"/>
              </w:rPr>
              <w:t xml:space="preserve"> pokarmowego</w:t>
            </w:r>
          </w:p>
          <w:p w14:paraId="2E578A89"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Hemochromatoza</w:t>
            </w:r>
          </w:p>
          <w:p w14:paraId="6F6A7286"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Ostre zapalenie trzustki</w:t>
            </w:r>
          </w:p>
          <w:p w14:paraId="61B866D4"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Wodobrzusze idiopatyczne</w:t>
            </w:r>
          </w:p>
          <w:p w14:paraId="7A4DBF6F" w14:textId="77777777" w:rsidR="00F55719" w:rsidRDefault="00F55719"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Mocznicowe zapalenie otrzewnej</w:t>
            </w:r>
          </w:p>
          <w:p w14:paraId="13B5FF29" w14:textId="77777777" w:rsidR="00382176" w:rsidRPr="0002448D"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Niedrożność porażenna przewodu pokarmowego</w:t>
            </w:r>
          </w:p>
        </w:tc>
      </w:tr>
      <w:tr w:rsidR="006F00B3" w:rsidRPr="0002448D" w14:paraId="10086054" w14:textId="77777777" w:rsidTr="00A72683">
        <w:tc>
          <w:tcPr>
            <w:tcW w:w="2835" w:type="dxa"/>
            <w:shd w:val="clear" w:color="auto" w:fill="F2F2F2" w:themeFill="background1" w:themeFillShade="F2"/>
            <w:vAlign w:val="center"/>
          </w:tcPr>
          <w:p w14:paraId="573125E7" w14:textId="77777777" w:rsidR="006F00B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t>Zaburzenia czynności układu nerwowego i mięśni</w:t>
            </w:r>
          </w:p>
        </w:tc>
        <w:tc>
          <w:tcPr>
            <w:tcW w:w="6237" w:type="dxa"/>
            <w:shd w:val="clear" w:color="auto" w:fill="auto"/>
            <w:vAlign w:val="center"/>
          </w:tcPr>
          <w:p w14:paraId="138801C9" w14:textId="77777777" w:rsidR="006F00B3"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Zaburzenia ze strony OUN</w:t>
            </w:r>
          </w:p>
          <w:p w14:paraId="63B940F4"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Drgawki i śpiączka</w:t>
            </w:r>
          </w:p>
          <w:p w14:paraId="54FDAEAD" w14:textId="77777777" w:rsidR="00382176"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Neuropatia obwodowa</w:t>
            </w:r>
          </w:p>
          <w:p w14:paraId="2322FB1E" w14:textId="77777777" w:rsidR="00382176" w:rsidRPr="0002448D" w:rsidRDefault="00382176"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Neuropatia współczulna</w:t>
            </w:r>
          </w:p>
        </w:tc>
      </w:tr>
      <w:tr w:rsidR="006F00B3" w:rsidRPr="00C57815" w14:paraId="33FECD54" w14:textId="77777777" w:rsidTr="00A72683">
        <w:tc>
          <w:tcPr>
            <w:tcW w:w="2835" w:type="dxa"/>
            <w:shd w:val="clear" w:color="auto" w:fill="F2F2F2" w:themeFill="background1" w:themeFillShade="F2"/>
            <w:vAlign w:val="center"/>
          </w:tcPr>
          <w:p w14:paraId="2C64335C" w14:textId="77777777" w:rsidR="006F00B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t>Zaburzenia hormonalne</w:t>
            </w:r>
            <w:r w:rsidR="00A72683">
              <w:rPr>
                <w:rFonts w:eastAsia="Calibri"/>
                <w:sz w:val="18"/>
                <w:szCs w:val="18"/>
                <w:lang w:val="pl-PL"/>
              </w:rPr>
              <w:br/>
            </w:r>
            <w:r w:rsidRPr="00996F53">
              <w:rPr>
                <w:rFonts w:eastAsia="Calibri"/>
                <w:sz w:val="18"/>
                <w:szCs w:val="18"/>
                <w:lang w:val="pl-PL"/>
              </w:rPr>
              <w:t>i metaboliczne</w:t>
            </w:r>
          </w:p>
        </w:tc>
        <w:tc>
          <w:tcPr>
            <w:tcW w:w="6237" w:type="dxa"/>
            <w:shd w:val="clear" w:color="auto" w:fill="auto"/>
            <w:vAlign w:val="center"/>
          </w:tcPr>
          <w:p w14:paraId="1B1316C8" w14:textId="77777777" w:rsidR="006F00B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Niedobór aktywnej witaminy D i wtórna nadczynność przytarczyc</w:t>
            </w:r>
          </w:p>
          <w:p w14:paraId="465DBFA3"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Nieprawidłowa glikemia na czczo lub nieprawidłowa tolerancja glukozy</w:t>
            </w:r>
          </w:p>
          <w:p w14:paraId="158DA6E9"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proofErr w:type="spellStart"/>
            <w:r>
              <w:rPr>
                <w:sz w:val="18"/>
                <w:szCs w:val="18"/>
                <w:lang w:val="pl-PL"/>
              </w:rPr>
              <w:t>Dyslipidemia</w:t>
            </w:r>
            <w:proofErr w:type="spellEnd"/>
          </w:p>
          <w:p w14:paraId="7648F230"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Niedożywienie białkowo-energetyczne</w:t>
            </w:r>
          </w:p>
          <w:p w14:paraId="67800875"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Upośledzenie wzrastania dzieci i młodzieży</w:t>
            </w:r>
          </w:p>
          <w:p w14:paraId="35D1556F" w14:textId="77777777" w:rsidR="00F55719" w:rsidRDefault="00F55719" w:rsidP="00F84B72">
            <w:pPr>
              <w:pStyle w:val="EYBulletedList1"/>
              <w:numPr>
                <w:ilvl w:val="0"/>
                <w:numId w:val="11"/>
              </w:numPr>
              <w:spacing w:beforeLines="20" w:before="48" w:afterLines="20" w:after="48"/>
              <w:ind w:left="289" w:hanging="289"/>
              <w:rPr>
                <w:sz w:val="18"/>
                <w:szCs w:val="18"/>
                <w:lang w:val="pl-PL"/>
              </w:rPr>
            </w:pPr>
            <w:proofErr w:type="spellStart"/>
            <w:r>
              <w:rPr>
                <w:sz w:val="18"/>
                <w:szCs w:val="18"/>
                <w:lang w:val="pl-PL"/>
              </w:rPr>
              <w:t>Hiperprolaktynemia</w:t>
            </w:r>
            <w:proofErr w:type="spellEnd"/>
          </w:p>
          <w:p w14:paraId="3AC75080" w14:textId="77777777" w:rsidR="00F55719" w:rsidRDefault="00F55719"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Niedobór hormonów płciowych</w:t>
            </w:r>
          </w:p>
          <w:p w14:paraId="0B681BCA" w14:textId="77777777" w:rsidR="00996F53" w:rsidRP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Zaburzenia miesiączkowania, niepłodność i zaburzenia czynności seksualnych</w:t>
            </w:r>
          </w:p>
        </w:tc>
      </w:tr>
      <w:tr w:rsidR="00996F53" w:rsidRPr="0002448D" w14:paraId="2F56F532" w14:textId="77777777" w:rsidTr="00A72683">
        <w:tc>
          <w:tcPr>
            <w:tcW w:w="2835" w:type="dxa"/>
            <w:shd w:val="clear" w:color="auto" w:fill="F2F2F2" w:themeFill="background1" w:themeFillShade="F2"/>
            <w:vAlign w:val="center"/>
          </w:tcPr>
          <w:p w14:paraId="5117EB27" w14:textId="77777777" w:rsidR="00996F5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t>Zaburzenia gospodarki wodno-</w:t>
            </w:r>
            <w:r w:rsidRPr="00996F53">
              <w:rPr>
                <w:rFonts w:eastAsia="Calibri"/>
                <w:sz w:val="18"/>
                <w:szCs w:val="18"/>
                <w:lang w:val="pl-PL"/>
              </w:rPr>
              <w:lastRenderedPageBreak/>
              <w:t>elektrolitowej i równowagi kwasowo-zasadowej</w:t>
            </w:r>
          </w:p>
        </w:tc>
        <w:tc>
          <w:tcPr>
            <w:tcW w:w="6237" w:type="dxa"/>
            <w:shd w:val="clear" w:color="auto" w:fill="auto"/>
            <w:vAlign w:val="center"/>
          </w:tcPr>
          <w:p w14:paraId="1DA516A1"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lastRenderedPageBreak/>
              <w:t>Hiper- lub hipowolemia</w:t>
            </w:r>
          </w:p>
          <w:p w14:paraId="6161E1B2"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lastRenderedPageBreak/>
              <w:t>Hiper- lub hiponatremia</w:t>
            </w:r>
          </w:p>
          <w:p w14:paraId="031C673F"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Hiper</w:t>
            </w:r>
            <w:r w:rsidR="00040954">
              <w:rPr>
                <w:sz w:val="18"/>
                <w:szCs w:val="18"/>
                <w:lang w:val="pl-PL"/>
              </w:rPr>
              <w:t>k</w:t>
            </w:r>
            <w:r>
              <w:rPr>
                <w:sz w:val="18"/>
                <w:szCs w:val="18"/>
                <w:lang w:val="pl-PL"/>
              </w:rPr>
              <w:t>aliemia</w:t>
            </w:r>
          </w:p>
          <w:p w14:paraId="73B19FD8"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Kwasica </w:t>
            </w:r>
            <w:proofErr w:type="spellStart"/>
            <w:r>
              <w:rPr>
                <w:sz w:val="18"/>
                <w:szCs w:val="18"/>
                <w:lang w:val="pl-PL"/>
              </w:rPr>
              <w:t>nieoddechowa</w:t>
            </w:r>
            <w:proofErr w:type="spellEnd"/>
          </w:p>
          <w:p w14:paraId="004E1803"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proofErr w:type="spellStart"/>
            <w:r>
              <w:rPr>
                <w:sz w:val="18"/>
                <w:szCs w:val="18"/>
                <w:lang w:val="pl-PL"/>
              </w:rPr>
              <w:t>Hiperfosfatemia</w:t>
            </w:r>
            <w:proofErr w:type="spellEnd"/>
          </w:p>
          <w:p w14:paraId="4EFBDCEB"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Hiper- lub hipokalcemia</w:t>
            </w:r>
          </w:p>
        </w:tc>
      </w:tr>
      <w:tr w:rsidR="00996F53" w:rsidRPr="0002448D" w14:paraId="453973B8" w14:textId="77777777" w:rsidTr="00A72683">
        <w:tc>
          <w:tcPr>
            <w:tcW w:w="2835" w:type="dxa"/>
            <w:shd w:val="clear" w:color="auto" w:fill="F2F2F2" w:themeFill="background1" w:themeFillShade="F2"/>
            <w:vAlign w:val="center"/>
          </w:tcPr>
          <w:p w14:paraId="36094E84" w14:textId="77777777" w:rsidR="00996F53" w:rsidRPr="00996F53" w:rsidRDefault="00996F53" w:rsidP="00F84B72">
            <w:pPr>
              <w:pStyle w:val="Akapitzlist"/>
              <w:numPr>
                <w:ilvl w:val="0"/>
                <w:numId w:val="12"/>
              </w:numPr>
              <w:spacing w:before="60" w:after="60" w:line="240" w:lineRule="auto"/>
              <w:ind w:left="318" w:hanging="284"/>
              <w:jc w:val="left"/>
              <w:rPr>
                <w:rFonts w:eastAsia="Calibri"/>
                <w:sz w:val="18"/>
                <w:szCs w:val="18"/>
                <w:lang w:val="pl-PL"/>
              </w:rPr>
            </w:pPr>
            <w:r w:rsidRPr="00996F53">
              <w:rPr>
                <w:rFonts w:eastAsia="Calibri"/>
                <w:sz w:val="18"/>
                <w:szCs w:val="18"/>
                <w:lang w:val="pl-PL"/>
              </w:rPr>
              <w:lastRenderedPageBreak/>
              <w:t>Zaburzenia morfologii krwi i odporności</w:t>
            </w:r>
          </w:p>
        </w:tc>
        <w:tc>
          <w:tcPr>
            <w:tcW w:w="6237" w:type="dxa"/>
            <w:shd w:val="clear" w:color="auto" w:fill="auto"/>
            <w:vAlign w:val="center"/>
          </w:tcPr>
          <w:p w14:paraId="1E15DF25"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Niedokrwistość</w:t>
            </w:r>
          </w:p>
          <w:p w14:paraId="481E42F7"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Limfopenia</w:t>
            </w:r>
          </w:p>
          <w:p w14:paraId="4BFBE43B"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Skaza krwotoczna</w:t>
            </w:r>
          </w:p>
          <w:p w14:paraId="196F97DC"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Obniżona odporność</w:t>
            </w:r>
          </w:p>
          <w:p w14:paraId="69218007" w14:textId="77777777" w:rsidR="00996F53" w:rsidRDefault="00996F53"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Leukopenia</w:t>
            </w:r>
          </w:p>
        </w:tc>
      </w:tr>
    </w:tbl>
    <w:p w14:paraId="48193841" w14:textId="77777777" w:rsidR="006F00B3" w:rsidRDefault="00040954" w:rsidP="006F00B3">
      <w:pPr>
        <w:pStyle w:val="EYBulletedList1"/>
        <w:numPr>
          <w:ilvl w:val="0"/>
          <w:numId w:val="0"/>
        </w:numPr>
        <w:spacing w:line="360" w:lineRule="auto"/>
        <w:jc w:val="both"/>
        <w:rPr>
          <w:sz w:val="18"/>
          <w:szCs w:val="18"/>
          <w:lang w:val="pl-PL"/>
        </w:rPr>
      </w:pPr>
      <w:r w:rsidRPr="00040954">
        <w:rPr>
          <w:sz w:val="18"/>
          <w:szCs w:val="18"/>
          <w:lang w:val="pl-PL"/>
        </w:rPr>
        <w:t>Źródło: Pod red. nauk. Gajewski P., Interna Szczeklika, Medycyna Praktyczna, 2016, s. 1509-1511</w:t>
      </w:r>
    </w:p>
    <w:p w14:paraId="0A8FEA5C" w14:textId="1270EC71" w:rsidR="00DC2635" w:rsidRDefault="00A72683" w:rsidP="00501063">
      <w:pPr>
        <w:rPr>
          <w:lang w:val="pl-PL"/>
        </w:rPr>
      </w:pPr>
      <w:r>
        <w:rPr>
          <w:lang w:val="pl-PL"/>
        </w:rPr>
        <w:t>O</w:t>
      </w:r>
      <w:r w:rsidR="00DC2635" w:rsidRPr="00DC2635">
        <w:rPr>
          <w:lang w:val="pl-PL"/>
        </w:rPr>
        <w:t>bjawy kliniczne</w:t>
      </w:r>
      <w:r w:rsidR="00DC2635">
        <w:rPr>
          <w:lang w:val="pl-PL"/>
        </w:rPr>
        <w:t xml:space="preserve"> </w:t>
      </w:r>
      <w:proofErr w:type="spellStart"/>
      <w:r w:rsidR="00DC2635">
        <w:rPr>
          <w:lang w:val="pl-PL"/>
        </w:rPr>
        <w:t>PChN</w:t>
      </w:r>
      <w:proofErr w:type="spellEnd"/>
      <w:r w:rsidR="00DC2635" w:rsidRPr="00DC2635">
        <w:rPr>
          <w:lang w:val="pl-PL"/>
        </w:rPr>
        <w:t xml:space="preserve"> można skategoryzować </w:t>
      </w:r>
      <w:r w:rsidR="00DC2635">
        <w:rPr>
          <w:lang w:val="pl-PL"/>
        </w:rPr>
        <w:t xml:space="preserve">również </w:t>
      </w:r>
      <w:r w:rsidR="00DC2635" w:rsidRPr="00DC2635">
        <w:rPr>
          <w:lang w:val="pl-PL"/>
        </w:rPr>
        <w:t>pod kątem</w:t>
      </w:r>
      <w:r w:rsidR="00DC2635">
        <w:rPr>
          <w:lang w:val="pl-PL"/>
        </w:rPr>
        <w:t xml:space="preserve"> stopnia zaawansowania choroby (kategorii GFR), co </w:t>
      </w:r>
      <w:r w:rsidR="00AC69BC">
        <w:rPr>
          <w:lang w:val="pl-PL"/>
        </w:rPr>
        <w:t>przedstawion</w:t>
      </w:r>
      <w:r w:rsidR="00DC2635">
        <w:rPr>
          <w:lang w:val="pl-PL"/>
        </w:rPr>
        <w:t xml:space="preserve">o w tabeli </w:t>
      </w:r>
      <w:r w:rsidR="001E35A3">
        <w:rPr>
          <w:lang w:val="pl-PL"/>
        </w:rPr>
        <w:t>8</w:t>
      </w:r>
      <w:r w:rsidR="00DC2635">
        <w:rPr>
          <w:lang w:val="pl-PL"/>
        </w:rPr>
        <w:t>.</w:t>
      </w:r>
    </w:p>
    <w:p w14:paraId="4E1E8F9B" w14:textId="112B6F50" w:rsidR="00FA3665" w:rsidRPr="00FA3665" w:rsidRDefault="00FA3665" w:rsidP="00FA3665">
      <w:pPr>
        <w:pStyle w:val="Legenda"/>
        <w:keepNext/>
        <w:rPr>
          <w:b/>
          <w:i w:val="0"/>
          <w:color w:val="auto"/>
          <w:lang w:val="pl-PL"/>
        </w:rPr>
      </w:pPr>
      <w:bookmarkStart w:id="50" w:name="_Toc486537971"/>
      <w:r w:rsidRPr="00FA3665">
        <w:rPr>
          <w:b/>
          <w:i w:val="0"/>
          <w:color w:val="auto"/>
          <w:lang w:val="pl-PL"/>
        </w:rPr>
        <w:t xml:space="preserve">Tabela </w:t>
      </w:r>
      <w:r w:rsidRPr="00FA3665">
        <w:rPr>
          <w:b/>
          <w:i w:val="0"/>
          <w:color w:val="auto"/>
        </w:rPr>
        <w:fldChar w:fldCharType="begin"/>
      </w:r>
      <w:r w:rsidRPr="00FA3665">
        <w:rPr>
          <w:b/>
          <w:i w:val="0"/>
          <w:color w:val="auto"/>
          <w:lang w:val="pl-PL"/>
        </w:rPr>
        <w:instrText xml:space="preserve"> SEQ Tabela \* ARABIC </w:instrText>
      </w:r>
      <w:r w:rsidRPr="00FA3665">
        <w:rPr>
          <w:b/>
          <w:i w:val="0"/>
          <w:color w:val="auto"/>
        </w:rPr>
        <w:fldChar w:fldCharType="separate"/>
      </w:r>
      <w:r w:rsidR="005C7285">
        <w:rPr>
          <w:b/>
          <w:i w:val="0"/>
          <w:noProof/>
          <w:color w:val="auto"/>
          <w:lang w:val="pl-PL"/>
        </w:rPr>
        <w:t>8</w:t>
      </w:r>
      <w:r w:rsidRPr="00FA3665">
        <w:rPr>
          <w:b/>
          <w:i w:val="0"/>
          <w:color w:val="auto"/>
        </w:rPr>
        <w:fldChar w:fldCharType="end"/>
      </w:r>
      <w:r w:rsidRPr="00FA3665">
        <w:rPr>
          <w:b/>
          <w:i w:val="0"/>
          <w:color w:val="auto"/>
          <w:lang w:val="pl-PL"/>
        </w:rPr>
        <w:t xml:space="preserve"> </w:t>
      </w:r>
      <w:r>
        <w:rPr>
          <w:b/>
          <w:i w:val="0"/>
          <w:color w:val="auto"/>
          <w:lang w:val="pl-PL"/>
        </w:rPr>
        <w:t>O</w:t>
      </w:r>
      <w:r w:rsidRPr="00FA3665">
        <w:rPr>
          <w:b/>
          <w:i w:val="0"/>
          <w:color w:val="auto"/>
          <w:lang w:val="pl-PL"/>
        </w:rPr>
        <w:t>bjawy kliniczne</w:t>
      </w:r>
      <w:r>
        <w:rPr>
          <w:b/>
          <w:i w:val="0"/>
          <w:color w:val="auto"/>
          <w:lang w:val="pl-PL"/>
        </w:rPr>
        <w:t xml:space="preserve"> </w:t>
      </w:r>
      <w:proofErr w:type="spellStart"/>
      <w:r>
        <w:rPr>
          <w:b/>
          <w:i w:val="0"/>
          <w:color w:val="auto"/>
          <w:lang w:val="pl-PL"/>
        </w:rPr>
        <w:t>PChN</w:t>
      </w:r>
      <w:proofErr w:type="spellEnd"/>
      <w:r>
        <w:rPr>
          <w:b/>
          <w:i w:val="0"/>
          <w:color w:val="auto"/>
          <w:lang w:val="pl-PL"/>
        </w:rPr>
        <w:t xml:space="preserve"> związane ze stopniem zaawansowania choroby</w:t>
      </w:r>
      <w:bookmarkEnd w:id="50"/>
    </w:p>
    <w:tbl>
      <w:tblPr>
        <w:tblStyle w:val="Tabela-Siatka"/>
        <w:tblW w:w="9072" w:type="dxa"/>
        <w:tblBorders>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418"/>
        <w:gridCol w:w="7654"/>
      </w:tblGrid>
      <w:tr w:rsidR="00DC2635" w:rsidRPr="00C57815" w14:paraId="6A663B13" w14:textId="77777777" w:rsidTr="00A72683">
        <w:tc>
          <w:tcPr>
            <w:tcW w:w="9072" w:type="dxa"/>
            <w:gridSpan w:val="2"/>
            <w:shd w:val="clear" w:color="auto" w:fill="FFE600"/>
            <w:vAlign w:val="center"/>
          </w:tcPr>
          <w:p w14:paraId="05781264" w14:textId="77777777" w:rsidR="00DC2635" w:rsidRPr="00EA3DA5" w:rsidRDefault="00602625" w:rsidP="00EA3DA5">
            <w:pPr>
              <w:spacing w:before="60" w:after="60" w:line="240" w:lineRule="auto"/>
              <w:jc w:val="left"/>
              <w:rPr>
                <w:rFonts w:eastAsia="Calibri"/>
                <w:b/>
                <w:sz w:val="18"/>
                <w:szCs w:val="18"/>
                <w:lang w:val="pl-PL"/>
              </w:rPr>
            </w:pPr>
            <w:r w:rsidRPr="00EA3DA5">
              <w:rPr>
                <w:rFonts w:eastAsia="Calibri"/>
                <w:b/>
                <w:sz w:val="18"/>
                <w:szCs w:val="18"/>
                <w:lang w:val="pl-PL"/>
              </w:rPr>
              <w:t>O</w:t>
            </w:r>
            <w:r w:rsidR="00DC2635" w:rsidRPr="00EA3DA5">
              <w:rPr>
                <w:rFonts w:eastAsia="Calibri"/>
                <w:b/>
                <w:sz w:val="18"/>
                <w:szCs w:val="18"/>
                <w:lang w:val="pl-PL"/>
              </w:rPr>
              <w:t>bjaw</w:t>
            </w:r>
            <w:r w:rsidRPr="00EA3DA5">
              <w:rPr>
                <w:rFonts w:eastAsia="Calibri"/>
                <w:b/>
                <w:sz w:val="18"/>
                <w:szCs w:val="18"/>
                <w:lang w:val="pl-PL"/>
              </w:rPr>
              <w:t>y k</w:t>
            </w:r>
            <w:r w:rsidR="00DC2635" w:rsidRPr="00EA3DA5">
              <w:rPr>
                <w:rFonts w:eastAsia="Calibri"/>
                <w:b/>
                <w:sz w:val="18"/>
                <w:szCs w:val="18"/>
                <w:lang w:val="pl-PL"/>
              </w:rPr>
              <w:t>liniczn</w:t>
            </w:r>
            <w:r w:rsidRPr="00EA3DA5">
              <w:rPr>
                <w:rFonts w:eastAsia="Calibri"/>
                <w:b/>
                <w:sz w:val="18"/>
                <w:szCs w:val="18"/>
                <w:lang w:val="pl-PL"/>
              </w:rPr>
              <w:t>e</w:t>
            </w:r>
            <w:r w:rsidR="00DC2635" w:rsidRPr="00EA3DA5">
              <w:rPr>
                <w:rFonts w:eastAsia="Calibri"/>
                <w:b/>
                <w:sz w:val="18"/>
                <w:szCs w:val="18"/>
                <w:lang w:val="pl-PL"/>
              </w:rPr>
              <w:t xml:space="preserve"> </w:t>
            </w:r>
            <w:proofErr w:type="spellStart"/>
            <w:r w:rsidR="00DC2635" w:rsidRPr="00EA3DA5">
              <w:rPr>
                <w:rFonts w:eastAsia="Calibri"/>
                <w:b/>
                <w:sz w:val="18"/>
                <w:szCs w:val="18"/>
                <w:lang w:val="pl-PL"/>
              </w:rPr>
              <w:t>PChN</w:t>
            </w:r>
            <w:proofErr w:type="spellEnd"/>
            <w:r w:rsidRPr="00EA3DA5">
              <w:rPr>
                <w:rFonts w:eastAsia="Calibri"/>
                <w:b/>
                <w:sz w:val="18"/>
                <w:szCs w:val="18"/>
                <w:lang w:val="pl-PL"/>
              </w:rPr>
              <w:t xml:space="preserve"> w zależności od stopnia zaawansowania choroby</w:t>
            </w:r>
            <w:r w:rsidR="005D0A04" w:rsidRPr="00EA3DA5">
              <w:rPr>
                <w:rFonts w:eastAsia="Calibri"/>
                <w:b/>
                <w:sz w:val="18"/>
                <w:szCs w:val="18"/>
                <w:lang w:val="pl-PL"/>
              </w:rPr>
              <w:t xml:space="preserve"> (kategorii G)</w:t>
            </w:r>
          </w:p>
        </w:tc>
      </w:tr>
      <w:tr w:rsidR="00DC2635" w:rsidRPr="00C57815" w14:paraId="01C57066" w14:textId="77777777" w:rsidTr="00A72683">
        <w:tc>
          <w:tcPr>
            <w:tcW w:w="1418" w:type="dxa"/>
            <w:shd w:val="clear" w:color="auto" w:fill="F2F2F2" w:themeFill="background1" w:themeFillShade="F2"/>
            <w:vAlign w:val="center"/>
          </w:tcPr>
          <w:p w14:paraId="6EF5434F" w14:textId="77777777" w:rsidR="00DC2635" w:rsidRPr="00602625" w:rsidRDefault="00DC2635" w:rsidP="00602625">
            <w:pPr>
              <w:spacing w:before="60" w:after="60" w:line="240" w:lineRule="auto"/>
              <w:jc w:val="center"/>
              <w:rPr>
                <w:rFonts w:eastAsia="Calibri"/>
                <w:b/>
                <w:sz w:val="18"/>
                <w:szCs w:val="18"/>
                <w:lang w:val="pl-PL"/>
              </w:rPr>
            </w:pPr>
            <w:r w:rsidRPr="00602625">
              <w:rPr>
                <w:rFonts w:eastAsia="Calibri"/>
                <w:b/>
                <w:sz w:val="18"/>
                <w:szCs w:val="18"/>
                <w:lang w:val="pl-PL"/>
              </w:rPr>
              <w:t>G1</w:t>
            </w:r>
          </w:p>
        </w:tc>
        <w:tc>
          <w:tcPr>
            <w:tcW w:w="7654" w:type="dxa"/>
            <w:shd w:val="clear" w:color="auto" w:fill="auto"/>
            <w:vAlign w:val="center"/>
          </w:tcPr>
          <w:p w14:paraId="52240DC2" w14:textId="77777777" w:rsidR="00DC2635" w:rsidRDefault="00FA366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K</w:t>
            </w:r>
            <w:r w:rsidR="00DC2635">
              <w:rPr>
                <w:sz w:val="18"/>
                <w:szCs w:val="18"/>
                <w:lang w:val="pl-PL"/>
              </w:rPr>
              <w:t xml:space="preserve">liniczne </w:t>
            </w:r>
            <w:r>
              <w:rPr>
                <w:sz w:val="18"/>
                <w:szCs w:val="18"/>
                <w:lang w:val="pl-PL"/>
              </w:rPr>
              <w:t xml:space="preserve">objawy </w:t>
            </w:r>
            <w:r w:rsidR="00DC2635">
              <w:rPr>
                <w:sz w:val="18"/>
                <w:szCs w:val="18"/>
                <w:lang w:val="pl-PL"/>
              </w:rPr>
              <w:t>choroby podstawowej (np. objawy cukrzycy, nadciśnienia tętniczego)</w:t>
            </w:r>
          </w:p>
          <w:p w14:paraId="4C30A038"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Albuminuria</w:t>
            </w:r>
          </w:p>
          <w:p w14:paraId="007F6EE5"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Podwyższone ciśnienie tętnicze</w:t>
            </w:r>
          </w:p>
          <w:p w14:paraId="33CE05E8" w14:textId="77777777" w:rsidR="00DC2635" w:rsidRPr="00202FA3"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Filtracja kłębuszkowa prawidłowa lub zwiększona</w:t>
            </w:r>
          </w:p>
        </w:tc>
      </w:tr>
      <w:tr w:rsidR="00DC2635" w:rsidRPr="0002448D" w14:paraId="26DF2D59" w14:textId="77777777" w:rsidTr="00A72683">
        <w:tc>
          <w:tcPr>
            <w:tcW w:w="1418" w:type="dxa"/>
            <w:shd w:val="clear" w:color="auto" w:fill="F2F2F2" w:themeFill="background1" w:themeFillShade="F2"/>
            <w:vAlign w:val="center"/>
          </w:tcPr>
          <w:p w14:paraId="0E75B33D" w14:textId="77777777" w:rsidR="00DC2635" w:rsidRPr="00602625" w:rsidRDefault="00DC2635" w:rsidP="00602625">
            <w:pPr>
              <w:spacing w:before="60" w:after="60" w:line="240" w:lineRule="auto"/>
              <w:jc w:val="center"/>
              <w:rPr>
                <w:rFonts w:eastAsia="Calibri"/>
                <w:b/>
                <w:sz w:val="18"/>
                <w:szCs w:val="18"/>
                <w:lang w:val="pl-PL"/>
              </w:rPr>
            </w:pPr>
            <w:r w:rsidRPr="00602625">
              <w:rPr>
                <w:rFonts w:eastAsia="Calibri"/>
                <w:b/>
                <w:sz w:val="18"/>
                <w:szCs w:val="18"/>
                <w:lang w:val="pl-PL"/>
              </w:rPr>
              <w:t>G2</w:t>
            </w:r>
          </w:p>
        </w:tc>
        <w:tc>
          <w:tcPr>
            <w:tcW w:w="7654" w:type="dxa"/>
            <w:shd w:val="clear" w:color="auto" w:fill="auto"/>
            <w:vAlign w:val="center"/>
          </w:tcPr>
          <w:p w14:paraId="5469F381"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Zmniejszona rezerwa nerkowa (tj. zdolność zwiększania GFR w odpowiedzi na obciążenie np. dietą </w:t>
            </w:r>
            <w:proofErr w:type="spellStart"/>
            <w:r>
              <w:rPr>
                <w:sz w:val="18"/>
                <w:szCs w:val="18"/>
                <w:lang w:val="pl-PL"/>
              </w:rPr>
              <w:t>bogatobiałkową</w:t>
            </w:r>
            <w:proofErr w:type="spellEnd"/>
          </w:p>
          <w:p w14:paraId="7FAF87DE"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Zmniejszona zdolność cewek nerkowych do zagęszczania i zakwaszania moczu</w:t>
            </w:r>
          </w:p>
          <w:p w14:paraId="0BFC5CAB"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Podatność na odwodnienie i zakażenie układu moczowego</w:t>
            </w:r>
          </w:p>
          <w:p w14:paraId="6B7BB9E6"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Zwiększenie stężenia we krwi czynnika wzrostowego fibroblastów (FGF-23)</w:t>
            </w:r>
          </w:p>
          <w:p w14:paraId="0497AC16"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Fosfaturia</w:t>
            </w:r>
          </w:p>
          <w:p w14:paraId="49B18176"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Niedobór aktywnej witaminy D</w:t>
            </w:r>
            <w:r w:rsidR="009A62BE">
              <w:rPr>
                <w:sz w:val="18"/>
                <w:szCs w:val="18"/>
                <w:lang w:val="pl-PL"/>
              </w:rPr>
              <w:t>, wzrost wydzielania parathormonu</w:t>
            </w:r>
          </w:p>
          <w:p w14:paraId="39C071EC" w14:textId="77777777" w:rsidR="00DC2635" w:rsidRP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Niedokrwistość</w:t>
            </w:r>
          </w:p>
        </w:tc>
      </w:tr>
      <w:tr w:rsidR="00DC2635" w:rsidRPr="00C57815" w14:paraId="0C6247ED" w14:textId="77777777" w:rsidTr="00A72683">
        <w:tc>
          <w:tcPr>
            <w:tcW w:w="1418" w:type="dxa"/>
            <w:shd w:val="clear" w:color="auto" w:fill="F2F2F2" w:themeFill="background1" w:themeFillShade="F2"/>
            <w:vAlign w:val="center"/>
          </w:tcPr>
          <w:p w14:paraId="5ADB752A" w14:textId="77777777" w:rsidR="00DC2635" w:rsidRPr="00602625" w:rsidRDefault="00DC2635" w:rsidP="00602625">
            <w:pPr>
              <w:spacing w:before="60" w:after="60" w:line="240" w:lineRule="auto"/>
              <w:jc w:val="center"/>
              <w:rPr>
                <w:rFonts w:eastAsia="Calibri"/>
                <w:b/>
                <w:sz w:val="18"/>
                <w:szCs w:val="18"/>
                <w:lang w:val="pl-PL"/>
              </w:rPr>
            </w:pPr>
            <w:r w:rsidRPr="00602625">
              <w:rPr>
                <w:rFonts w:eastAsia="Calibri"/>
                <w:b/>
                <w:sz w:val="18"/>
                <w:szCs w:val="18"/>
                <w:lang w:val="pl-PL"/>
              </w:rPr>
              <w:t>G3</w:t>
            </w:r>
          </w:p>
        </w:tc>
        <w:tc>
          <w:tcPr>
            <w:tcW w:w="7654" w:type="dxa"/>
            <w:shd w:val="clear" w:color="auto" w:fill="auto"/>
            <w:vAlign w:val="center"/>
          </w:tcPr>
          <w:p w14:paraId="302AB130"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Pogłębiające </w:t>
            </w:r>
            <w:r w:rsidR="00F55719">
              <w:rPr>
                <w:sz w:val="18"/>
                <w:szCs w:val="18"/>
                <w:lang w:val="pl-PL"/>
              </w:rPr>
              <w:t xml:space="preserve">się </w:t>
            </w:r>
            <w:r>
              <w:rPr>
                <w:sz w:val="18"/>
                <w:szCs w:val="18"/>
                <w:lang w:val="pl-PL"/>
              </w:rPr>
              <w:t>upośledzenie zdolności zagęszczania moczu</w:t>
            </w:r>
          </w:p>
          <w:p w14:paraId="70DC4B9C"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Wielomocz</w:t>
            </w:r>
          </w:p>
          <w:p w14:paraId="4E4DA352"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Nykturia</w:t>
            </w:r>
          </w:p>
          <w:p w14:paraId="137F602D" w14:textId="77777777" w:rsidR="00DC2635" w:rsidRDefault="00DC2635"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Zwiększone pragnienie</w:t>
            </w:r>
          </w:p>
          <w:p w14:paraId="18995A98" w14:textId="77777777" w:rsidR="00DC2635"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Nadciśnienie tętnicze</w:t>
            </w:r>
          </w:p>
          <w:p w14:paraId="4E352E31" w14:textId="2F6AE5DC"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Wzrost stężenia produktów przemiany białek we krwi</w:t>
            </w:r>
            <w:r w:rsidR="00897BCD">
              <w:rPr>
                <w:sz w:val="18"/>
                <w:szCs w:val="18"/>
                <w:lang w:val="pl-PL"/>
              </w:rPr>
              <w:t xml:space="preserve"> </w:t>
            </w:r>
            <w:r>
              <w:rPr>
                <w:sz w:val="18"/>
                <w:szCs w:val="18"/>
                <w:lang w:val="pl-PL"/>
              </w:rPr>
              <w:t>(mocznik, kreatynina, kwas moczowy)</w:t>
            </w:r>
          </w:p>
          <w:p w14:paraId="6939F7BF"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Fosfaturia</w:t>
            </w:r>
          </w:p>
          <w:p w14:paraId="6FE25471"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Niedokrwistość</w:t>
            </w:r>
          </w:p>
          <w:p w14:paraId="58CE6F21"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Osłabienie, spadek wydolności fizycznej, zmęczenie</w:t>
            </w:r>
          </w:p>
          <w:p w14:paraId="028A3D67" w14:textId="77777777" w:rsidR="009A62BE" w:rsidRPr="0002448D"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Objawy ze strony układu pokarmowego (niesmak w ustach, utrata łaknienia, nudności)</w:t>
            </w:r>
          </w:p>
        </w:tc>
      </w:tr>
      <w:tr w:rsidR="00DC2635" w:rsidRPr="0002448D" w14:paraId="32DEDBB1" w14:textId="77777777" w:rsidTr="00A72683">
        <w:tc>
          <w:tcPr>
            <w:tcW w:w="1418" w:type="dxa"/>
            <w:shd w:val="clear" w:color="auto" w:fill="F2F2F2" w:themeFill="background1" w:themeFillShade="F2"/>
            <w:vAlign w:val="center"/>
          </w:tcPr>
          <w:p w14:paraId="316E08B9" w14:textId="77777777" w:rsidR="00DC2635" w:rsidRPr="00602625" w:rsidRDefault="00DC2635" w:rsidP="00602625">
            <w:pPr>
              <w:spacing w:before="60" w:after="60" w:line="240" w:lineRule="auto"/>
              <w:jc w:val="center"/>
              <w:rPr>
                <w:rFonts w:eastAsia="Calibri"/>
                <w:b/>
                <w:sz w:val="18"/>
                <w:szCs w:val="18"/>
                <w:lang w:val="pl-PL"/>
              </w:rPr>
            </w:pPr>
            <w:r w:rsidRPr="00602625">
              <w:rPr>
                <w:rFonts w:eastAsia="Calibri"/>
                <w:b/>
                <w:sz w:val="18"/>
                <w:szCs w:val="18"/>
                <w:lang w:val="pl-PL"/>
              </w:rPr>
              <w:t>G4</w:t>
            </w:r>
          </w:p>
        </w:tc>
        <w:tc>
          <w:tcPr>
            <w:tcW w:w="7654" w:type="dxa"/>
            <w:shd w:val="clear" w:color="auto" w:fill="auto"/>
            <w:vAlign w:val="center"/>
          </w:tcPr>
          <w:p w14:paraId="65515F76" w14:textId="77777777" w:rsidR="00DC2635"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Nasilenie wcześniejszych objawów</w:t>
            </w:r>
          </w:p>
          <w:p w14:paraId="7DC820A5"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Niewydolność serca</w:t>
            </w:r>
          </w:p>
          <w:p w14:paraId="01995C52"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Przerost lewej komory serca</w:t>
            </w:r>
          </w:p>
          <w:p w14:paraId="73776B5C"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Znaczna niedokrwistość</w:t>
            </w:r>
          </w:p>
          <w:p w14:paraId="475EA3C1" w14:textId="77777777" w:rsid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lastRenderedPageBreak/>
              <w:t xml:space="preserve">Kwasica </w:t>
            </w:r>
            <w:proofErr w:type="spellStart"/>
            <w:r>
              <w:rPr>
                <w:sz w:val="18"/>
                <w:szCs w:val="18"/>
                <w:lang w:val="pl-PL"/>
              </w:rPr>
              <w:t>nieoddechowa</w:t>
            </w:r>
            <w:proofErr w:type="spellEnd"/>
          </w:p>
          <w:p w14:paraId="14BD07BF" w14:textId="77777777" w:rsidR="009A62BE" w:rsidRPr="009A62BE"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Zaburzenia mineralne i kostne</w:t>
            </w:r>
          </w:p>
        </w:tc>
      </w:tr>
      <w:tr w:rsidR="00DC2635" w:rsidRPr="00602625" w14:paraId="7572F56B" w14:textId="77777777" w:rsidTr="00A72683">
        <w:tc>
          <w:tcPr>
            <w:tcW w:w="1418" w:type="dxa"/>
            <w:shd w:val="clear" w:color="auto" w:fill="F2F2F2" w:themeFill="background1" w:themeFillShade="F2"/>
            <w:vAlign w:val="center"/>
          </w:tcPr>
          <w:p w14:paraId="2A9EDCB6" w14:textId="77777777" w:rsidR="00DC2635" w:rsidRPr="00602625" w:rsidRDefault="00DC2635" w:rsidP="00602625">
            <w:pPr>
              <w:spacing w:before="60" w:after="60" w:line="240" w:lineRule="auto"/>
              <w:jc w:val="center"/>
              <w:rPr>
                <w:rFonts w:eastAsia="Calibri"/>
                <w:b/>
                <w:sz w:val="18"/>
                <w:szCs w:val="18"/>
                <w:lang w:val="pl-PL"/>
              </w:rPr>
            </w:pPr>
            <w:r w:rsidRPr="00602625">
              <w:rPr>
                <w:rFonts w:eastAsia="Calibri"/>
                <w:b/>
                <w:sz w:val="18"/>
                <w:szCs w:val="18"/>
                <w:lang w:val="pl-PL"/>
              </w:rPr>
              <w:lastRenderedPageBreak/>
              <w:t>G5</w:t>
            </w:r>
            <w:r w:rsidR="00602625" w:rsidRPr="00602625">
              <w:rPr>
                <w:rFonts w:eastAsia="Calibri"/>
                <w:b/>
                <w:sz w:val="18"/>
                <w:szCs w:val="18"/>
                <w:lang w:val="pl-PL"/>
              </w:rPr>
              <w:br/>
            </w:r>
            <w:r w:rsidR="009A62BE" w:rsidRPr="00602625">
              <w:rPr>
                <w:rFonts w:eastAsia="Calibri"/>
                <w:b/>
                <w:sz w:val="18"/>
                <w:szCs w:val="18"/>
                <w:lang w:val="pl-PL"/>
              </w:rPr>
              <w:t>(schyłkowa niewydolność nerek – mocznica)</w:t>
            </w:r>
          </w:p>
        </w:tc>
        <w:tc>
          <w:tcPr>
            <w:tcW w:w="7654" w:type="dxa"/>
            <w:shd w:val="clear" w:color="auto" w:fill="auto"/>
            <w:vAlign w:val="center"/>
          </w:tcPr>
          <w:p w14:paraId="2B85E991" w14:textId="7D011760" w:rsidR="00DC2635" w:rsidRDefault="009A62BE"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Objawy </w:t>
            </w:r>
            <w:r w:rsidR="00F55719">
              <w:rPr>
                <w:sz w:val="18"/>
                <w:szCs w:val="18"/>
                <w:lang w:val="pl-PL"/>
              </w:rPr>
              <w:t>wielonarządowe</w:t>
            </w:r>
          </w:p>
          <w:p w14:paraId="4B5E2309" w14:textId="2DEAB9A8" w:rsidR="009A62BE" w:rsidRPr="009A62BE" w:rsidRDefault="00F55719" w:rsidP="00F84B72">
            <w:pPr>
              <w:pStyle w:val="EYBulletedList1"/>
              <w:numPr>
                <w:ilvl w:val="0"/>
                <w:numId w:val="11"/>
              </w:numPr>
              <w:spacing w:beforeLines="20" w:before="48" w:afterLines="20" w:after="48"/>
              <w:ind w:left="289" w:hanging="289"/>
              <w:rPr>
                <w:sz w:val="18"/>
                <w:szCs w:val="18"/>
                <w:lang w:val="pl-PL"/>
              </w:rPr>
            </w:pPr>
            <w:r>
              <w:rPr>
                <w:sz w:val="18"/>
                <w:szCs w:val="18"/>
                <w:lang w:val="pl-PL"/>
              </w:rPr>
              <w:t xml:space="preserve">Konieczność </w:t>
            </w:r>
            <w:r w:rsidR="009A62BE">
              <w:rPr>
                <w:sz w:val="18"/>
                <w:szCs w:val="18"/>
                <w:lang w:val="pl-PL"/>
              </w:rPr>
              <w:t>leczenia nerkozastępczego</w:t>
            </w:r>
          </w:p>
        </w:tc>
      </w:tr>
    </w:tbl>
    <w:p w14:paraId="563E1251" w14:textId="77777777" w:rsidR="00DC2635" w:rsidRPr="00FA3665" w:rsidRDefault="009A62BE" w:rsidP="006F00B3">
      <w:pPr>
        <w:pStyle w:val="EYBulletedList1"/>
        <w:numPr>
          <w:ilvl w:val="0"/>
          <w:numId w:val="0"/>
        </w:numPr>
        <w:spacing w:line="360" w:lineRule="auto"/>
        <w:jc w:val="both"/>
        <w:rPr>
          <w:sz w:val="18"/>
          <w:szCs w:val="18"/>
          <w:lang w:val="pl-PL"/>
        </w:rPr>
      </w:pPr>
      <w:r w:rsidRPr="00040954">
        <w:rPr>
          <w:sz w:val="18"/>
          <w:szCs w:val="18"/>
          <w:lang w:val="pl-PL"/>
        </w:rPr>
        <w:t>Źródło: Pod red. nauk. Gajewski P., Interna Szczeklika, Medycyna Praktyczna, 2016, s. 1511</w:t>
      </w:r>
    </w:p>
    <w:p w14:paraId="26517E6D" w14:textId="77777777" w:rsidR="00CE06A1" w:rsidRPr="00970FC6" w:rsidRDefault="00184133" w:rsidP="00CE06A1">
      <w:pPr>
        <w:pStyle w:val="EYHeading3"/>
        <w:rPr>
          <w:rFonts w:eastAsia="Calibri"/>
          <w:color w:val="000000" w:themeColor="text1"/>
          <w:lang w:val="pl-PL"/>
        </w:rPr>
      </w:pPr>
      <w:bookmarkStart w:id="51" w:name="_Toc486537905"/>
      <w:r w:rsidRPr="00970FC6">
        <w:rPr>
          <w:rFonts w:eastAsia="Calibri"/>
          <w:color w:val="000000" w:themeColor="text1"/>
          <w:lang w:val="pl-PL"/>
        </w:rPr>
        <w:t>Naturalny przebieg i rokowanie</w:t>
      </w:r>
      <w:bookmarkEnd w:id="51"/>
    </w:p>
    <w:p w14:paraId="1F6BDCA3" w14:textId="594E11FC" w:rsidR="009D2568" w:rsidRPr="006F3794" w:rsidRDefault="00184133" w:rsidP="00184133">
      <w:pPr>
        <w:rPr>
          <w:szCs w:val="22"/>
          <w:lang w:val="pl-PL"/>
        </w:rPr>
      </w:pPr>
      <w:r w:rsidRPr="006F3794">
        <w:rPr>
          <w:rFonts w:eastAsia="Calibri"/>
          <w:szCs w:val="22"/>
          <w:lang w:val="pl-PL"/>
        </w:rPr>
        <w:t>Przebieg i rokowanie</w:t>
      </w:r>
      <w:r w:rsidR="00F55719">
        <w:rPr>
          <w:rFonts w:eastAsia="Calibri"/>
          <w:szCs w:val="22"/>
          <w:lang w:val="pl-PL"/>
        </w:rPr>
        <w:t xml:space="preserve"> </w:t>
      </w:r>
      <w:proofErr w:type="spellStart"/>
      <w:r w:rsidR="00F55719">
        <w:rPr>
          <w:rFonts w:eastAsia="Calibri"/>
          <w:szCs w:val="22"/>
          <w:lang w:val="pl-PL"/>
        </w:rPr>
        <w:t>PChN</w:t>
      </w:r>
      <w:proofErr w:type="spellEnd"/>
      <w:r w:rsidRPr="006F3794">
        <w:rPr>
          <w:rFonts w:eastAsia="Calibri"/>
          <w:szCs w:val="22"/>
          <w:lang w:val="pl-PL"/>
        </w:rPr>
        <w:t xml:space="preserve"> </w:t>
      </w:r>
      <w:r w:rsidR="00104099" w:rsidRPr="006F3794">
        <w:rPr>
          <w:rFonts w:eastAsia="Calibri"/>
          <w:szCs w:val="22"/>
          <w:lang w:val="pl-PL"/>
        </w:rPr>
        <w:t>są zależne</w:t>
      </w:r>
      <w:r w:rsidRPr="006F3794">
        <w:rPr>
          <w:rFonts w:eastAsia="Calibri"/>
          <w:szCs w:val="22"/>
          <w:lang w:val="pl-PL"/>
        </w:rPr>
        <w:t xml:space="preserve"> przede wszystkim od przebiegu i dynamiki progresji choroby podstawowej</w:t>
      </w:r>
      <w:r w:rsidR="001E35A3">
        <w:rPr>
          <w:rFonts w:eastAsia="Calibri"/>
          <w:szCs w:val="22"/>
          <w:lang w:val="pl-PL"/>
        </w:rPr>
        <w:t xml:space="preserve"> </w:t>
      </w:r>
      <w:r w:rsidR="00417B76" w:rsidRPr="006F3794">
        <w:rPr>
          <w:rFonts w:eastAsia="Calibri"/>
          <w:szCs w:val="22"/>
          <w:lang w:val="pl-PL"/>
        </w:rPr>
        <w:t xml:space="preserve">oraz obecności </w:t>
      </w:r>
      <w:r w:rsidR="00C028A9" w:rsidRPr="006F3794">
        <w:rPr>
          <w:rFonts w:eastAsia="Calibri"/>
          <w:szCs w:val="22"/>
          <w:lang w:val="pl-PL"/>
        </w:rPr>
        <w:t xml:space="preserve">i aktywności </w:t>
      </w:r>
      <w:r w:rsidR="00417B76" w:rsidRPr="006F3794">
        <w:rPr>
          <w:rFonts w:eastAsia="Calibri"/>
          <w:szCs w:val="22"/>
          <w:lang w:val="pl-PL"/>
        </w:rPr>
        <w:t xml:space="preserve">czynników przyspieszających postęp </w:t>
      </w:r>
      <w:proofErr w:type="spellStart"/>
      <w:r w:rsidR="00104099" w:rsidRPr="006F3794">
        <w:rPr>
          <w:rFonts w:eastAsia="Calibri"/>
          <w:szCs w:val="22"/>
          <w:lang w:val="pl-PL"/>
        </w:rPr>
        <w:t>PChN</w:t>
      </w:r>
      <w:proofErr w:type="spellEnd"/>
      <w:r w:rsidRPr="006F3794">
        <w:rPr>
          <w:rFonts w:eastAsia="Calibri"/>
          <w:szCs w:val="22"/>
          <w:lang w:val="pl-PL"/>
        </w:rPr>
        <w:t>.</w:t>
      </w:r>
      <w:r w:rsidR="00556C6B" w:rsidRPr="006F3794">
        <w:rPr>
          <w:rFonts w:eastAsia="Calibri"/>
          <w:szCs w:val="22"/>
          <w:lang w:val="pl-PL"/>
        </w:rPr>
        <w:t xml:space="preserve"> </w:t>
      </w:r>
      <w:proofErr w:type="spellStart"/>
      <w:r w:rsidRPr="006F3794">
        <w:rPr>
          <w:rFonts w:eastAsia="Calibri"/>
          <w:szCs w:val="22"/>
          <w:lang w:val="pl-PL"/>
        </w:rPr>
        <w:t>PChN</w:t>
      </w:r>
      <w:proofErr w:type="spellEnd"/>
      <w:r w:rsidRPr="006F3794">
        <w:rPr>
          <w:rFonts w:eastAsia="Calibri"/>
          <w:szCs w:val="22"/>
          <w:lang w:val="pl-PL"/>
        </w:rPr>
        <w:t xml:space="preserve"> </w:t>
      </w:r>
      <w:r w:rsidR="001E51E6" w:rsidRPr="006F3794">
        <w:rPr>
          <w:rFonts w:eastAsia="Calibri"/>
          <w:szCs w:val="22"/>
          <w:lang w:val="pl-PL"/>
        </w:rPr>
        <w:t xml:space="preserve">ma na ogół kontrolowany przebieg, ponieważ choroba </w:t>
      </w:r>
      <w:r w:rsidRPr="006F3794">
        <w:rPr>
          <w:rFonts w:eastAsia="Calibri"/>
          <w:szCs w:val="22"/>
          <w:lang w:val="pl-PL"/>
        </w:rPr>
        <w:t xml:space="preserve">nie </w:t>
      </w:r>
      <w:r w:rsidR="00556C6B" w:rsidRPr="006F3794">
        <w:rPr>
          <w:rFonts w:eastAsia="Calibri"/>
          <w:szCs w:val="22"/>
          <w:lang w:val="pl-PL"/>
        </w:rPr>
        <w:t xml:space="preserve">postępuje </w:t>
      </w:r>
      <w:r w:rsidRPr="006F3794">
        <w:rPr>
          <w:rFonts w:eastAsia="Calibri"/>
          <w:szCs w:val="22"/>
          <w:lang w:val="pl-PL"/>
        </w:rPr>
        <w:t>gwałtown</w:t>
      </w:r>
      <w:r w:rsidR="00556C6B" w:rsidRPr="006F3794">
        <w:rPr>
          <w:rFonts w:eastAsia="Calibri"/>
          <w:szCs w:val="22"/>
          <w:lang w:val="pl-PL"/>
        </w:rPr>
        <w:t>ie</w:t>
      </w:r>
      <w:r w:rsidRPr="006F3794">
        <w:rPr>
          <w:rFonts w:eastAsia="Calibri"/>
          <w:szCs w:val="22"/>
          <w:lang w:val="pl-PL"/>
        </w:rPr>
        <w:t>, a</w:t>
      </w:r>
      <w:r w:rsidR="00556C6B" w:rsidRPr="006F3794">
        <w:rPr>
          <w:rFonts w:eastAsia="Calibri"/>
          <w:szCs w:val="22"/>
          <w:lang w:val="pl-PL"/>
        </w:rPr>
        <w:t xml:space="preserve"> progres schorzenia można prognozować na podstawie dotychczasowej dynamiki spadku GFR. P</w:t>
      </w:r>
      <w:r w:rsidR="00C028A9" w:rsidRPr="006F3794">
        <w:rPr>
          <w:rFonts w:eastAsia="Calibri"/>
          <w:szCs w:val="22"/>
          <w:lang w:val="pl-PL"/>
        </w:rPr>
        <w:t>oziom GFR spada w średnim tempie </w:t>
      </w:r>
      <w:r w:rsidR="000B676E">
        <w:rPr>
          <w:rFonts w:eastAsia="Calibri"/>
          <w:szCs w:val="22"/>
          <w:lang w:val="pl-PL"/>
        </w:rPr>
        <w:br/>
      </w:r>
      <w:r w:rsidRPr="006F3794">
        <w:rPr>
          <w:rFonts w:eastAsia="Calibri"/>
          <w:szCs w:val="22"/>
          <w:lang w:val="pl-PL"/>
        </w:rPr>
        <w:t>o</w:t>
      </w:r>
      <w:r w:rsidR="000B676E">
        <w:rPr>
          <w:rFonts w:eastAsia="Calibri"/>
          <w:szCs w:val="22"/>
          <w:lang w:val="pl-PL"/>
        </w:rPr>
        <w:t> </w:t>
      </w:r>
      <w:r w:rsidRPr="006F3794">
        <w:rPr>
          <w:rFonts w:eastAsia="Calibri"/>
          <w:szCs w:val="22"/>
          <w:lang w:val="pl-PL"/>
        </w:rPr>
        <w:t>1-2 </w:t>
      </w:r>
      <w:r w:rsidRPr="006F3794">
        <w:rPr>
          <w:szCs w:val="22"/>
          <w:lang w:val="pl-PL"/>
        </w:rPr>
        <w:t>ml/min/1.73 m</w:t>
      </w:r>
      <w:r w:rsidRPr="006F3794">
        <w:rPr>
          <w:szCs w:val="22"/>
          <w:vertAlign w:val="superscript"/>
          <w:lang w:val="pl-PL"/>
        </w:rPr>
        <w:t>2</w:t>
      </w:r>
      <w:r w:rsidR="00556C6B" w:rsidRPr="006F3794">
        <w:rPr>
          <w:szCs w:val="22"/>
          <w:vertAlign w:val="superscript"/>
          <w:lang w:val="pl-PL"/>
        </w:rPr>
        <w:t xml:space="preserve"> </w:t>
      </w:r>
      <w:r w:rsidRPr="006F3794">
        <w:rPr>
          <w:szCs w:val="22"/>
          <w:lang w:val="pl-PL"/>
        </w:rPr>
        <w:t>rocznie</w:t>
      </w:r>
      <w:r w:rsidR="00556C6B" w:rsidRPr="006F3794">
        <w:rPr>
          <w:szCs w:val="22"/>
          <w:lang w:val="pl-PL"/>
        </w:rPr>
        <w:t>, przy czym u</w:t>
      </w:r>
      <w:r w:rsidRPr="006F3794">
        <w:rPr>
          <w:szCs w:val="22"/>
          <w:lang w:val="pl-PL"/>
        </w:rPr>
        <w:t xml:space="preserve"> pacjentów z nefropatią cukrzycową tempo zmniejszania się GFR może być nawet 6-12 krotnie większe.</w:t>
      </w:r>
      <w:r w:rsidR="00556C6B" w:rsidRPr="006F3794">
        <w:rPr>
          <w:szCs w:val="22"/>
          <w:lang w:val="pl-PL"/>
        </w:rPr>
        <w:t xml:space="preserve"> </w:t>
      </w:r>
      <w:r w:rsidR="00417B76" w:rsidRPr="006F3794">
        <w:rPr>
          <w:szCs w:val="22"/>
          <w:lang w:val="pl-PL"/>
        </w:rPr>
        <w:t>Zmiana</w:t>
      </w:r>
      <w:r w:rsidR="00556C6B" w:rsidRPr="006F3794">
        <w:rPr>
          <w:szCs w:val="22"/>
          <w:lang w:val="pl-PL"/>
        </w:rPr>
        <w:t xml:space="preserve"> szybkości spadku</w:t>
      </w:r>
      <w:r w:rsidR="00417B76" w:rsidRPr="006F3794">
        <w:rPr>
          <w:szCs w:val="22"/>
          <w:lang w:val="pl-PL"/>
        </w:rPr>
        <w:t xml:space="preserve"> GFR może sugerować odwracalne przyczyny zaostrzenia choroby, stąd</w:t>
      </w:r>
      <w:r w:rsidR="00C028A9" w:rsidRPr="006F3794">
        <w:rPr>
          <w:szCs w:val="22"/>
          <w:lang w:val="pl-PL"/>
        </w:rPr>
        <w:t>,</w:t>
      </w:r>
      <w:r w:rsidR="00417B76" w:rsidRPr="006F3794">
        <w:rPr>
          <w:szCs w:val="22"/>
          <w:lang w:val="pl-PL"/>
        </w:rPr>
        <w:t xml:space="preserve"> oprócz monitorowania samego poziomu filtracji kłębuszkowej, należy obserwować również tempo jego spadku</w:t>
      </w:r>
      <w:r w:rsidR="00AE3E29" w:rsidRPr="006F3794">
        <w:rPr>
          <w:rStyle w:val="Odwoanieprzypisudolnego"/>
          <w:sz w:val="22"/>
          <w:szCs w:val="22"/>
          <w:lang w:val="pl-PL"/>
        </w:rPr>
        <w:footnoteReference w:id="29"/>
      </w:r>
      <w:r w:rsidR="0098077F" w:rsidRPr="006F3794">
        <w:rPr>
          <w:szCs w:val="22"/>
          <w:lang w:val="pl-PL"/>
        </w:rPr>
        <w:t>.</w:t>
      </w:r>
      <w:r w:rsidR="00C028A9" w:rsidRPr="006F3794">
        <w:rPr>
          <w:szCs w:val="22"/>
          <w:lang w:val="pl-PL"/>
        </w:rPr>
        <w:t xml:space="preserve"> </w:t>
      </w:r>
    </w:p>
    <w:p w14:paraId="07FC262C" w14:textId="77777777" w:rsidR="00C028A9" w:rsidRPr="006F3794" w:rsidRDefault="001E51E6" w:rsidP="00184133">
      <w:pPr>
        <w:rPr>
          <w:szCs w:val="22"/>
          <w:lang w:val="pl-PL"/>
        </w:rPr>
      </w:pPr>
      <w:r w:rsidRPr="006F3794">
        <w:rPr>
          <w:szCs w:val="22"/>
          <w:lang w:val="pl-PL"/>
        </w:rPr>
        <w:t>Rokowanie w przewlekłej chorobie nerek jest zależne, oprócz choroby podstawowej i</w:t>
      </w:r>
      <w:r w:rsidR="000B676E">
        <w:rPr>
          <w:szCs w:val="22"/>
          <w:lang w:val="pl-PL"/>
        </w:rPr>
        <w:t> </w:t>
      </w:r>
      <w:r w:rsidRPr="006F3794">
        <w:rPr>
          <w:szCs w:val="22"/>
          <w:lang w:val="pl-PL"/>
        </w:rPr>
        <w:t xml:space="preserve">czynników przyspieszających postęp </w:t>
      </w:r>
      <w:proofErr w:type="spellStart"/>
      <w:r w:rsidRPr="006F3794">
        <w:rPr>
          <w:szCs w:val="22"/>
          <w:lang w:val="pl-PL"/>
        </w:rPr>
        <w:t>PChN</w:t>
      </w:r>
      <w:proofErr w:type="spellEnd"/>
      <w:r w:rsidRPr="006F3794">
        <w:rPr>
          <w:szCs w:val="22"/>
          <w:lang w:val="pl-PL"/>
        </w:rPr>
        <w:t xml:space="preserve">, również od stopnia zaawansowania </w:t>
      </w:r>
      <w:proofErr w:type="spellStart"/>
      <w:r w:rsidRPr="006F3794">
        <w:rPr>
          <w:szCs w:val="22"/>
          <w:lang w:val="pl-PL"/>
        </w:rPr>
        <w:t>PChN</w:t>
      </w:r>
      <w:proofErr w:type="spellEnd"/>
      <w:r w:rsidRPr="006F3794">
        <w:rPr>
          <w:szCs w:val="22"/>
          <w:lang w:val="pl-PL"/>
        </w:rPr>
        <w:t xml:space="preserve"> (</w:t>
      </w:r>
      <w:r w:rsidR="000B676E">
        <w:rPr>
          <w:szCs w:val="22"/>
          <w:lang w:val="pl-PL"/>
        </w:rPr>
        <w:t>w</w:t>
      </w:r>
      <w:r w:rsidR="00B46AC8">
        <w:rPr>
          <w:szCs w:val="22"/>
          <w:lang w:val="pl-PL"/>
        </w:rPr>
        <w:t> </w:t>
      </w:r>
      <w:r w:rsidR="000B676E">
        <w:rPr>
          <w:szCs w:val="22"/>
          <w:lang w:val="pl-PL"/>
        </w:rPr>
        <w:t xml:space="preserve">tym </w:t>
      </w:r>
      <w:r w:rsidRPr="006F3794">
        <w:rPr>
          <w:szCs w:val="22"/>
          <w:lang w:val="pl-PL"/>
        </w:rPr>
        <w:t>wielkości albuminurii</w:t>
      </w:r>
      <w:r w:rsidR="000B676E">
        <w:rPr>
          <w:szCs w:val="22"/>
          <w:lang w:val="pl-PL"/>
        </w:rPr>
        <w:t>)</w:t>
      </w:r>
      <w:r w:rsidR="001E1321">
        <w:rPr>
          <w:szCs w:val="22"/>
          <w:lang w:val="pl-PL"/>
        </w:rPr>
        <w:t xml:space="preserve"> oraz </w:t>
      </w:r>
      <w:r w:rsidRPr="006F3794">
        <w:rPr>
          <w:szCs w:val="22"/>
          <w:lang w:val="pl-PL"/>
        </w:rPr>
        <w:t>czynników powodujących zaostrzenie niewydolności nerek</w:t>
      </w:r>
      <w:r w:rsidR="001E1321">
        <w:rPr>
          <w:szCs w:val="22"/>
          <w:lang w:val="pl-PL"/>
        </w:rPr>
        <w:t xml:space="preserve">. Do </w:t>
      </w:r>
      <w:r w:rsidRPr="006F3794">
        <w:rPr>
          <w:szCs w:val="22"/>
          <w:lang w:val="pl-PL"/>
        </w:rPr>
        <w:t xml:space="preserve">zaostrzenia </w:t>
      </w:r>
      <w:r w:rsidR="001E1321">
        <w:rPr>
          <w:szCs w:val="22"/>
          <w:lang w:val="pl-PL"/>
        </w:rPr>
        <w:t xml:space="preserve">niewydolności nerek </w:t>
      </w:r>
      <w:r w:rsidRPr="006F3794">
        <w:rPr>
          <w:szCs w:val="22"/>
          <w:lang w:val="pl-PL"/>
        </w:rPr>
        <w:t xml:space="preserve">może dojść </w:t>
      </w:r>
      <w:r w:rsidR="00C028A9" w:rsidRPr="006F3794">
        <w:rPr>
          <w:szCs w:val="22"/>
          <w:lang w:val="pl-PL"/>
        </w:rPr>
        <w:t>na skutek</w:t>
      </w:r>
      <w:r w:rsidR="00AE3E29" w:rsidRPr="006F3794">
        <w:rPr>
          <w:rStyle w:val="Odwoanieprzypisudolnego"/>
          <w:sz w:val="22"/>
          <w:szCs w:val="22"/>
          <w:lang w:val="pl-PL"/>
        </w:rPr>
        <w:footnoteReference w:id="30"/>
      </w:r>
      <w:r w:rsidR="00C028A9" w:rsidRPr="006F3794">
        <w:rPr>
          <w:szCs w:val="22"/>
          <w:lang w:val="pl-PL"/>
        </w:rPr>
        <w:t>:</w:t>
      </w:r>
    </w:p>
    <w:p w14:paraId="6F510800" w14:textId="77777777" w:rsidR="00C028A9" w:rsidRPr="00501063" w:rsidRDefault="00C028A9" w:rsidP="00F84B72">
      <w:pPr>
        <w:pStyle w:val="EYBulletedList1"/>
        <w:numPr>
          <w:ilvl w:val="0"/>
          <w:numId w:val="11"/>
        </w:numPr>
        <w:ind w:left="289" w:hanging="289"/>
        <w:jc w:val="both"/>
        <w:rPr>
          <w:rFonts w:eastAsia="Calibri"/>
          <w:sz w:val="22"/>
          <w:lang w:val="pl-PL"/>
        </w:rPr>
      </w:pPr>
      <w:r w:rsidRPr="00501063">
        <w:rPr>
          <w:rFonts w:eastAsia="Calibri"/>
          <w:sz w:val="22"/>
          <w:lang w:val="pl-PL"/>
        </w:rPr>
        <w:t>Odwodnienia</w:t>
      </w:r>
    </w:p>
    <w:p w14:paraId="12ACD3AD" w14:textId="77777777" w:rsidR="00C028A9" w:rsidRPr="00501063" w:rsidRDefault="00AE3E29" w:rsidP="00F84B72">
      <w:pPr>
        <w:pStyle w:val="EYBulletedList1"/>
        <w:numPr>
          <w:ilvl w:val="0"/>
          <w:numId w:val="11"/>
        </w:numPr>
        <w:ind w:left="289" w:hanging="289"/>
        <w:jc w:val="both"/>
        <w:rPr>
          <w:rFonts w:eastAsia="Calibri"/>
          <w:sz w:val="22"/>
          <w:lang w:val="pl-PL"/>
        </w:rPr>
      </w:pPr>
      <w:proofErr w:type="spellStart"/>
      <w:r w:rsidRPr="00501063">
        <w:rPr>
          <w:rFonts w:eastAsia="Calibri"/>
          <w:sz w:val="22"/>
          <w:lang w:val="pl-PL"/>
        </w:rPr>
        <w:t>Nefrotoksyczności</w:t>
      </w:r>
      <w:proofErr w:type="spellEnd"/>
      <w:r w:rsidRPr="00501063">
        <w:rPr>
          <w:rFonts w:eastAsia="Calibri"/>
          <w:sz w:val="22"/>
          <w:lang w:val="pl-PL"/>
        </w:rPr>
        <w:t xml:space="preserve"> leków, r</w:t>
      </w:r>
      <w:r w:rsidR="00C028A9" w:rsidRPr="00501063">
        <w:rPr>
          <w:rFonts w:eastAsia="Calibri"/>
          <w:sz w:val="22"/>
          <w:lang w:val="pl-PL"/>
        </w:rPr>
        <w:t>adiologicznych środków cieniujących</w:t>
      </w:r>
    </w:p>
    <w:p w14:paraId="0B414814" w14:textId="77777777" w:rsidR="00AE3E29" w:rsidRPr="00501063" w:rsidRDefault="00AE3E29" w:rsidP="00F84B72">
      <w:pPr>
        <w:pStyle w:val="EYBulletedList1"/>
        <w:numPr>
          <w:ilvl w:val="0"/>
          <w:numId w:val="11"/>
        </w:numPr>
        <w:ind w:left="289" w:hanging="289"/>
        <w:jc w:val="both"/>
        <w:rPr>
          <w:rFonts w:eastAsia="Calibri"/>
          <w:sz w:val="22"/>
          <w:lang w:val="pl-PL"/>
        </w:rPr>
      </w:pPr>
      <w:r w:rsidRPr="00501063">
        <w:rPr>
          <w:rFonts w:eastAsia="Calibri"/>
          <w:sz w:val="22"/>
          <w:lang w:val="pl-PL"/>
        </w:rPr>
        <w:t>Utrudnionego odpływu moczu</w:t>
      </w:r>
    </w:p>
    <w:p w14:paraId="6276CB87" w14:textId="77777777" w:rsidR="00AE3E29" w:rsidRPr="00501063" w:rsidRDefault="00AE3E29" w:rsidP="00F84B72">
      <w:pPr>
        <w:pStyle w:val="EYBulletedList1"/>
        <w:numPr>
          <w:ilvl w:val="0"/>
          <w:numId w:val="11"/>
        </w:numPr>
        <w:ind w:left="289" w:hanging="289"/>
        <w:jc w:val="both"/>
        <w:rPr>
          <w:rFonts w:eastAsia="Calibri"/>
          <w:sz w:val="22"/>
          <w:lang w:val="pl-PL"/>
        </w:rPr>
      </w:pPr>
      <w:r w:rsidRPr="00501063">
        <w:rPr>
          <w:rFonts w:eastAsia="Calibri"/>
          <w:sz w:val="22"/>
          <w:lang w:val="pl-PL"/>
        </w:rPr>
        <w:t>Równoległego ostrego uszkodzenia nerek</w:t>
      </w:r>
    </w:p>
    <w:p w14:paraId="026AF6F4" w14:textId="77777777" w:rsidR="00AE3E29" w:rsidRPr="00501063" w:rsidRDefault="00AE3E29" w:rsidP="00F84B72">
      <w:pPr>
        <w:pStyle w:val="EYBulletedList1"/>
        <w:numPr>
          <w:ilvl w:val="0"/>
          <w:numId w:val="11"/>
        </w:numPr>
        <w:ind w:left="289" w:hanging="289"/>
        <w:jc w:val="both"/>
        <w:rPr>
          <w:rFonts w:eastAsia="Calibri"/>
          <w:sz w:val="22"/>
          <w:lang w:val="pl-PL"/>
        </w:rPr>
      </w:pPr>
      <w:r w:rsidRPr="00501063">
        <w:rPr>
          <w:rFonts w:eastAsia="Calibri"/>
          <w:sz w:val="22"/>
          <w:lang w:val="pl-PL"/>
        </w:rPr>
        <w:t>Hipotensji</w:t>
      </w:r>
      <w:r w:rsidR="001B1CFB" w:rsidRPr="00501063">
        <w:rPr>
          <w:rFonts w:eastAsia="Calibri"/>
          <w:sz w:val="22"/>
          <w:lang w:val="pl-PL"/>
        </w:rPr>
        <w:t xml:space="preserve">, </w:t>
      </w:r>
      <w:r w:rsidRPr="00501063">
        <w:rPr>
          <w:rFonts w:eastAsia="Calibri"/>
          <w:sz w:val="22"/>
          <w:lang w:val="pl-PL"/>
        </w:rPr>
        <w:t xml:space="preserve">złośliwego nadciśnienia tętniczego </w:t>
      </w:r>
    </w:p>
    <w:p w14:paraId="5C909A3F" w14:textId="77777777" w:rsidR="00AE3E29" w:rsidRPr="00501063" w:rsidRDefault="00AE3E29" w:rsidP="00F84B72">
      <w:pPr>
        <w:pStyle w:val="EYBulletedList1"/>
        <w:numPr>
          <w:ilvl w:val="0"/>
          <w:numId w:val="11"/>
        </w:numPr>
        <w:ind w:left="289" w:hanging="289"/>
        <w:jc w:val="both"/>
        <w:rPr>
          <w:rFonts w:eastAsia="Calibri"/>
          <w:sz w:val="22"/>
          <w:lang w:val="pl-PL"/>
        </w:rPr>
      </w:pPr>
      <w:r w:rsidRPr="00501063">
        <w:rPr>
          <w:rFonts w:eastAsia="Calibri"/>
          <w:sz w:val="22"/>
          <w:lang w:val="pl-PL"/>
        </w:rPr>
        <w:t>Zaostrzenia choroby podstawowej</w:t>
      </w:r>
      <w:r w:rsidR="001B1CFB" w:rsidRPr="00501063">
        <w:rPr>
          <w:rFonts w:eastAsia="Calibri"/>
          <w:sz w:val="22"/>
          <w:lang w:val="pl-PL"/>
        </w:rPr>
        <w:t xml:space="preserve">, zaostrzenia </w:t>
      </w:r>
      <w:r w:rsidRPr="00501063">
        <w:rPr>
          <w:rFonts w:eastAsia="Calibri"/>
          <w:sz w:val="22"/>
          <w:lang w:val="pl-PL"/>
        </w:rPr>
        <w:t>niewydolności serca</w:t>
      </w:r>
    </w:p>
    <w:p w14:paraId="327A5827" w14:textId="77777777" w:rsidR="00AE3E29" w:rsidRPr="00501063" w:rsidRDefault="00AE3E29" w:rsidP="00F84B72">
      <w:pPr>
        <w:pStyle w:val="EYBulletedList1"/>
        <w:numPr>
          <w:ilvl w:val="0"/>
          <w:numId w:val="11"/>
        </w:numPr>
        <w:ind w:left="289" w:hanging="289"/>
        <w:jc w:val="both"/>
        <w:rPr>
          <w:rFonts w:eastAsia="Calibri"/>
          <w:sz w:val="22"/>
          <w:lang w:val="pl-PL"/>
        </w:rPr>
      </w:pPr>
      <w:proofErr w:type="spellStart"/>
      <w:r w:rsidRPr="00501063">
        <w:rPr>
          <w:rFonts w:eastAsia="Calibri"/>
          <w:sz w:val="22"/>
          <w:lang w:val="pl-PL"/>
        </w:rPr>
        <w:t>Odmiedniczkowego</w:t>
      </w:r>
      <w:proofErr w:type="spellEnd"/>
      <w:r w:rsidRPr="00501063">
        <w:rPr>
          <w:rFonts w:eastAsia="Calibri"/>
          <w:sz w:val="22"/>
          <w:lang w:val="pl-PL"/>
        </w:rPr>
        <w:t xml:space="preserve"> zapalenia nerek z powikłaniami</w:t>
      </w:r>
    </w:p>
    <w:p w14:paraId="1A94A4EA" w14:textId="77777777" w:rsidR="00AE3E29" w:rsidRDefault="00AE3E29" w:rsidP="00F84B72">
      <w:pPr>
        <w:pStyle w:val="EYBulletedList1"/>
        <w:numPr>
          <w:ilvl w:val="0"/>
          <w:numId w:val="11"/>
        </w:numPr>
        <w:ind w:left="289" w:hanging="289"/>
        <w:jc w:val="both"/>
        <w:rPr>
          <w:rFonts w:eastAsia="Calibri"/>
          <w:sz w:val="22"/>
          <w:lang w:val="pl-PL"/>
        </w:rPr>
      </w:pPr>
      <w:r w:rsidRPr="00501063">
        <w:rPr>
          <w:rFonts w:eastAsia="Calibri"/>
          <w:sz w:val="22"/>
          <w:lang w:val="pl-PL"/>
        </w:rPr>
        <w:t>Zatoru lub zakrzepu tętnicy nerkowej, zakrzepicy żył nerkowych</w:t>
      </w:r>
    </w:p>
    <w:p w14:paraId="53876931" w14:textId="77777777" w:rsidR="00F55719" w:rsidRPr="00501063" w:rsidRDefault="00F55719" w:rsidP="00F84B72">
      <w:pPr>
        <w:pStyle w:val="EYBulletedList1"/>
        <w:numPr>
          <w:ilvl w:val="0"/>
          <w:numId w:val="11"/>
        </w:numPr>
        <w:ind w:left="289" w:hanging="289"/>
        <w:jc w:val="both"/>
        <w:rPr>
          <w:rFonts w:eastAsia="Calibri"/>
          <w:sz w:val="22"/>
          <w:lang w:val="pl-PL"/>
        </w:rPr>
      </w:pPr>
      <w:r>
        <w:rPr>
          <w:rFonts w:eastAsia="Calibri"/>
          <w:sz w:val="22"/>
          <w:lang w:val="pl-PL"/>
        </w:rPr>
        <w:t>Wystąpienia poważnych schorzeń współistniejących</w:t>
      </w:r>
    </w:p>
    <w:p w14:paraId="0CDB61E2" w14:textId="77777777" w:rsidR="00104099" w:rsidRPr="006F3794" w:rsidRDefault="001E51E6" w:rsidP="00501063">
      <w:pPr>
        <w:rPr>
          <w:rFonts w:eastAsia="Calibri"/>
          <w:szCs w:val="22"/>
          <w:lang w:val="pl-PL"/>
        </w:rPr>
      </w:pPr>
      <w:r w:rsidRPr="006F3794">
        <w:rPr>
          <w:rFonts w:eastAsia="Calibri"/>
          <w:szCs w:val="22"/>
          <w:lang w:val="pl-PL"/>
        </w:rPr>
        <w:t xml:space="preserve">Główną przyczyną śmiertelności pacjentów z </w:t>
      </w:r>
      <w:proofErr w:type="spellStart"/>
      <w:r w:rsidRPr="006F3794">
        <w:rPr>
          <w:rFonts w:eastAsia="Calibri"/>
          <w:szCs w:val="22"/>
          <w:lang w:val="pl-PL"/>
        </w:rPr>
        <w:t>PChN</w:t>
      </w:r>
      <w:proofErr w:type="spellEnd"/>
      <w:r w:rsidRPr="006F3794">
        <w:rPr>
          <w:rFonts w:eastAsia="Calibri"/>
          <w:szCs w:val="22"/>
          <w:lang w:val="pl-PL"/>
        </w:rPr>
        <w:t xml:space="preserve"> są choroby sercowo-naczyniowe oraz zakażenia. Rocznie umiera </w:t>
      </w:r>
      <w:r w:rsidR="001B1CFB" w:rsidRPr="006F3794">
        <w:rPr>
          <w:rFonts w:eastAsia="Calibri"/>
          <w:szCs w:val="22"/>
          <w:lang w:val="pl-PL"/>
        </w:rPr>
        <w:t xml:space="preserve">ok. </w:t>
      </w:r>
      <w:r w:rsidRPr="006F3794">
        <w:rPr>
          <w:rFonts w:eastAsia="Calibri"/>
          <w:szCs w:val="22"/>
          <w:lang w:val="pl-PL"/>
        </w:rPr>
        <w:t>10-15% pacjentów dializowanych</w:t>
      </w:r>
      <w:r w:rsidR="001B1CFB" w:rsidRPr="006F3794">
        <w:rPr>
          <w:rStyle w:val="Odwoanieprzypisudolnego"/>
          <w:rFonts w:eastAsia="Calibri"/>
          <w:sz w:val="22"/>
          <w:szCs w:val="22"/>
          <w:lang w:val="pl-PL"/>
        </w:rPr>
        <w:footnoteReference w:id="31"/>
      </w:r>
      <w:r w:rsidRPr="006F3794">
        <w:rPr>
          <w:rFonts w:eastAsia="Calibri"/>
          <w:szCs w:val="22"/>
          <w:lang w:val="pl-PL"/>
        </w:rPr>
        <w:t>.</w:t>
      </w:r>
    </w:p>
    <w:p w14:paraId="5746CFDA" w14:textId="77777777" w:rsidR="00324FB1" w:rsidRPr="00970FC6" w:rsidRDefault="00324FB1" w:rsidP="00324FB1">
      <w:pPr>
        <w:pStyle w:val="EYHeading3"/>
        <w:rPr>
          <w:rFonts w:eastAsia="Calibri"/>
          <w:color w:val="000000" w:themeColor="text1"/>
        </w:rPr>
      </w:pPr>
      <w:bookmarkStart w:id="52" w:name="_Toc486537906"/>
      <w:proofErr w:type="spellStart"/>
      <w:r w:rsidRPr="00970FC6">
        <w:rPr>
          <w:rFonts w:eastAsia="Calibri"/>
          <w:color w:val="000000" w:themeColor="text1"/>
        </w:rPr>
        <w:lastRenderedPageBreak/>
        <w:t>Profilaktyka</w:t>
      </w:r>
      <w:proofErr w:type="spellEnd"/>
      <w:r w:rsidRPr="00970FC6">
        <w:rPr>
          <w:rFonts w:eastAsia="Calibri"/>
          <w:color w:val="000000" w:themeColor="text1"/>
        </w:rPr>
        <w:t xml:space="preserve"> </w:t>
      </w:r>
      <w:proofErr w:type="spellStart"/>
      <w:r w:rsidRPr="00970FC6">
        <w:rPr>
          <w:rFonts w:eastAsia="Calibri"/>
          <w:color w:val="000000" w:themeColor="text1"/>
        </w:rPr>
        <w:t>PChN</w:t>
      </w:r>
      <w:bookmarkEnd w:id="52"/>
      <w:proofErr w:type="spellEnd"/>
    </w:p>
    <w:p w14:paraId="52A0B33D" w14:textId="77777777" w:rsidR="00C04450" w:rsidRDefault="00C04450" w:rsidP="00C04450">
      <w:pPr>
        <w:rPr>
          <w:rFonts w:eastAsia="Calibri"/>
          <w:lang w:val="pl-PL"/>
        </w:rPr>
      </w:pPr>
      <w:r>
        <w:rPr>
          <w:rFonts w:eastAsia="Calibri"/>
          <w:lang w:val="pl-PL"/>
        </w:rPr>
        <w:t xml:space="preserve">Z uwagi na brak </w:t>
      </w:r>
      <w:r w:rsidR="00BF0FCD">
        <w:rPr>
          <w:rFonts w:eastAsia="Calibri"/>
          <w:lang w:val="pl-PL"/>
        </w:rPr>
        <w:t xml:space="preserve">lub </w:t>
      </w:r>
      <w:r>
        <w:rPr>
          <w:rFonts w:eastAsia="Calibri"/>
          <w:lang w:val="pl-PL"/>
        </w:rPr>
        <w:t xml:space="preserve">niecharakterystyczne objawy wczesnych stadiów </w:t>
      </w:r>
      <w:proofErr w:type="spellStart"/>
      <w:r>
        <w:rPr>
          <w:rFonts w:eastAsia="Calibri"/>
          <w:lang w:val="pl-PL"/>
        </w:rPr>
        <w:t>PChN</w:t>
      </w:r>
      <w:proofErr w:type="spellEnd"/>
      <w:r>
        <w:rPr>
          <w:rFonts w:eastAsia="Calibri"/>
          <w:lang w:val="pl-PL"/>
        </w:rPr>
        <w:t xml:space="preserve"> oraz przewlekłość i uciążliwość</w:t>
      </w:r>
      <w:r w:rsidR="00BF0FCD">
        <w:rPr>
          <w:rFonts w:eastAsia="Calibri"/>
          <w:lang w:val="pl-PL"/>
        </w:rPr>
        <w:t xml:space="preserve"> tej</w:t>
      </w:r>
      <w:r>
        <w:rPr>
          <w:rFonts w:eastAsia="Calibri"/>
          <w:lang w:val="pl-PL"/>
        </w:rPr>
        <w:t xml:space="preserve"> choroby dla pacjentów w zaawansowanych stadiach, istotne jest realizowanie działań w zakresie profilaktyki zdrowotnej. Specyfika i przebieg przewlekłej choroby nerek pozwalają na prowadzenie profilaktyki na </w:t>
      </w:r>
      <w:r w:rsidR="002A3011">
        <w:rPr>
          <w:rFonts w:eastAsia="Calibri"/>
          <w:lang w:val="pl-PL"/>
        </w:rPr>
        <w:t xml:space="preserve">wszystkich jej </w:t>
      </w:r>
      <w:r>
        <w:rPr>
          <w:rFonts w:eastAsia="Calibri"/>
          <w:lang w:val="pl-PL"/>
        </w:rPr>
        <w:t>poziomach</w:t>
      </w:r>
      <w:r w:rsidR="002A3011">
        <w:rPr>
          <w:rFonts w:eastAsia="Calibri"/>
          <w:lang w:val="pl-PL"/>
        </w:rPr>
        <w:t xml:space="preserve"> (zdefiniowanych w nomenklaturze zdrowia publicznego)</w:t>
      </w:r>
      <w:r w:rsidR="002A3011" w:rsidRPr="002A3011">
        <w:rPr>
          <w:rStyle w:val="Odwoanieprzypisudolnego"/>
          <w:rFonts w:eastAsia="Calibri"/>
          <w:sz w:val="22"/>
          <w:szCs w:val="22"/>
          <w:lang w:val="pl-PL"/>
        </w:rPr>
        <w:footnoteReference w:id="32"/>
      </w:r>
      <w:r>
        <w:rPr>
          <w:rFonts w:eastAsia="Calibri"/>
          <w:lang w:val="pl-PL"/>
        </w:rPr>
        <w:t>:</w:t>
      </w:r>
    </w:p>
    <w:p w14:paraId="7A090B37" w14:textId="77777777" w:rsidR="00C04450" w:rsidRPr="00C76574" w:rsidRDefault="00C04450" w:rsidP="00F84B72">
      <w:pPr>
        <w:pStyle w:val="EYBulletedList1"/>
        <w:numPr>
          <w:ilvl w:val="0"/>
          <w:numId w:val="11"/>
        </w:numPr>
        <w:ind w:left="289" w:hanging="289"/>
        <w:jc w:val="both"/>
        <w:rPr>
          <w:rFonts w:eastAsia="Calibri"/>
          <w:sz w:val="22"/>
          <w:lang w:val="pl-PL"/>
        </w:rPr>
      </w:pPr>
      <w:r w:rsidRPr="00C76574">
        <w:rPr>
          <w:rFonts w:eastAsia="Calibri"/>
          <w:sz w:val="22"/>
          <w:lang w:val="pl-PL"/>
        </w:rPr>
        <w:t xml:space="preserve">profilaktyka </w:t>
      </w:r>
      <w:r w:rsidR="00577774">
        <w:rPr>
          <w:rFonts w:eastAsia="Calibri"/>
          <w:sz w:val="22"/>
          <w:lang w:val="pl-PL"/>
        </w:rPr>
        <w:t>pierwszorzędowa</w:t>
      </w:r>
      <w:r w:rsidRPr="00C76574">
        <w:rPr>
          <w:rFonts w:eastAsia="Calibri"/>
          <w:sz w:val="22"/>
          <w:lang w:val="pl-PL"/>
        </w:rPr>
        <w:t xml:space="preserve"> (pierwotna) – profilaktyka dotycząca całej populacji (lub jej części), mająca na celu uprzedzenie choroby bądź zmniejszenie ryzyka jej rozwoju</w:t>
      </w:r>
      <w:r>
        <w:rPr>
          <w:rFonts w:eastAsia="Calibri"/>
          <w:sz w:val="22"/>
          <w:lang w:val="pl-PL"/>
        </w:rPr>
        <w:t xml:space="preserve"> m.in. poprzez wykształcenie odpowiednich zachowań prozdrowotnych w populacji oraz zarządzanie czynnikami ryzyka</w:t>
      </w:r>
      <w:r w:rsidRPr="00C76574">
        <w:rPr>
          <w:rFonts w:eastAsia="Calibri"/>
          <w:sz w:val="22"/>
          <w:lang w:val="pl-PL"/>
        </w:rPr>
        <w:t>. Obejmuje działania swoiste (nacelowane na zapobieganie konkretnej chorobie np. poprzez szczepienia ochronne) lub nieswoiste (zapobieganie wielu chorobom np. poprzez odpowiednie odżywianie</w:t>
      </w:r>
      <w:r>
        <w:rPr>
          <w:rFonts w:eastAsia="Calibri"/>
          <w:sz w:val="22"/>
          <w:lang w:val="pl-PL"/>
        </w:rPr>
        <w:t>, niepalenie tytoniu itp.</w:t>
      </w:r>
      <w:r w:rsidRPr="00C76574">
        <w:rPr>
          <w:rFonts w:eastAsia="Calibri"/>
          <w:sz w:val="22"/>
          <w:lang w:val="pl-PL"/>
        </w:rPr>
        <w:t>)</w:t>
      </w:r>
    </w:p>
    <w:p w14:paraId="480037F0" w14:textId="77777777" w:rsidR="00C04450" w:rsidRPr="00C76574" w:rsidRDefault="00C04450" w:rsidP="00F84B72">
      <w:pPr>
        <w:pStyle w:val="EYBulletedList1"/>
        <w:numPr>
          <w:ilvl w:val="0"/>
          <w:numId w:val="11"/>
        </w:numPr>
        <w:ind w:left="289" w:hanging="289"/>
        <w:jc w:val="both"/>
        <w:rPr>
          <w:rFonts w:eastAsia="Calibri"/>
          <w:sz w:val="22"/>
          <w:lang w:val="pl-PL"/>
        </w:rPr>
      </w:pPr>
      <w:r w:rsidRPr="00C76574">
        <w:rPr>
          <w:rFonts w:eastAsia="Calibri"/>
          <w:sz w:val="22"/>
          <w:lang w:val="pl-PL"/>
        </w:rPr>
        <w:t xml:space="preserve">profilaktyka </w:t>
      </w:r>
      <w:r w:rsidR="00577774">
        <w:rPr>
          <w:rFonts w:eastAsia="Calibri"/>
          <w:sz w:val="22"/>
          <w:lang w:val="pl-PL"/>
        </w:rPr>
        <w:t>drugorzędowa</w:t>
      </w:r>
      <w:r w:rsidRPr="00C76574">
        <w:rPr>
          <w:rFonts w:eastAsia="Calibri"/>
          <w:sz w:val="22"/>
          <w:lang w:val="pl-PL"/>
        </w:rPr>
        <w:t xml:space="preserve"> (wtórna) – działania profilaktyczne, skupione na konkretnej populacji z grup wysokiego ryzyka, mające na celu wczesne wykrycie choroby i rozpoczęcie leczenia np. poprzez badania przesiewowe</w:t>
      </w:r>
    </w:p>
    <w:p w14:paraId="4B6ECEE0" w14:textId="77777777" w:rsidR="00C04450" w:rsidRDefault="00C04450" w:rsidP="00F84B72">
      <w:pPr>
        <w:pStyle w:val="EYBulletedList1"/>
        <w:numPr>
          <w:ilvl w:val="0"/>
          <w:numId w:val="11"/>
        </w:numPr>
        <w:ind w:left="289" w:hanging="289"/>
        <w:jc w:val="both"/>
        <w:rPr>
          <w:rFonts w:eastAsia="Calibri"/>
          <w:sz w:val="22"/>
          <w:lang w:val="pl-PL"/>
        </w:rPr>
      </w:pPr>
      <w:r w:rsidRPr="00C76574">
        <w:rPr>
          <w:rFonts w:eastAsia="Calibri"/>
          <w:sz w:val="22"/>
          <w:lang w:val="pl-PL"/>
        </w:rPr>
        <w:t xml:space="preserve">profilaktyka </w:t>
      </w:r>
      <w:r w:rsidR="00577774">
        <w:rPr>
          <w:rFonts w:eastAsia="Calibri"/>
          <w:sz w:val="22"/>
          <w:lang w:val="pl-PL"/>
        </w:rPr>
        <w:t>trzeciorzędowa</w:t>
      </w:r>
      <w:r w:rsidRPr="00C76574">
        <w:rPr>
          <w:rFonts w:eastAsia="Calibri"/>
          <w:sz w:val="22"/>
          <w:lang w:val="pl-PL"/>
        </w:rPr>
        <w:t xml:space="preserve"> – profilaktyka obejmująca działania w zakresie </w:t>
      </w:r>
      <w:r>
        <w:rPr>
          <w:rFonts w:eastAsia="Calibri"/>
          <w:sz w:val="22"/>
          <w:lang w:val="pl-PL"/>
        </w:rPr>
        <w:t>spowalniania (</w:t>
      </w:r>
      <w:r w:rsidRPr="00C76574">
        <w:rPr>
          <w:rFonts w:eastAsia="Calibri"/>
          <w:sz w:val="22"/>
          <w:lang w:val="pl-PL"/>
        </w:rPr>
        <w:t>hamowania) progresji choroby i og</w:t>
      </w:r>
      <w:r>
        <w:rPr>
          <w:rFonts w:eastAsia="Calibri"/>
          <w:sz w:val="22"/>
          <w:lang w:val="pl-PL"/>
        </w:rPr>
        <w:t>raniczania jej symptomów i powikłań</w:t>
      </w:r>
    </w:p>
    <w:p w14:paraId="7503354C" w14:textId="77777777" w:rsidR="00C04450" w:rsidRDefault="00C04450" w:rsidP="00C04450">
      <w:pPr>
        <w:rPr>
          <w:rFonts w:eastAsia="Calibri"/>
          <w:lang w:val="pl-PL"/>
        </w:rPr>
      </w:pPr>
      <w:r>
        <w:rPr>
          <w:rFonts w:eastAsia="Calibri"/>
          <w:lang w:val="pl-PL"/>
        </w:rPr>
        <w:t xml:space="preserve">Z punktu widzenia zdrowia publicznego ważna jest aktywna profilaktyka pierwotna ukierunkowana na uprzedzenie choroby. Profilaktyka </w:t>
      </w:r>
      <w:r w:rsidR="00577774">
        <w:rPr>
          <w:rFonts w:eastAsia="Calibri"/>
          <w:lang w:val="pl-PL"/>
        </w:rPr>
        <w:t>pierwszorzędowa</w:t>
      </w:r>
      <w:r>
        <w:rPr>
          <w:rFonts w:eastAsia="Calibri"/>
          <w:lang w:val="pl-PL"/>
        </w:rPr>
        <w:t xml:space="preserve"> powinna zostać wsparta działaniami z zakresu profilaktyki wtórnej, polegającej przede wszystkim na wczesnym wykryciu </w:t>
      </w:r>
      <w:proofErr w:type="spellStart"/>
      <w:r>
        <w:rPr>
          <w:rFonts w:eastAsia="Calibri"/>
          <w:lang w:val="pl-PL"/>
        </w:rPr>
        <w:t>PChN</w:t>
      </w:r>
      <w:proofErr w:type="spellEnd"/>
      <w:r>
        <w:rPr>
          <w:rFonts w:eastAsia="Calibri"/>
          <w:lang w:val="pl-PL"/>
        </w:rPr>
        <w:t xml:space="preserve"> w populacji wysokiego ryzyka zachorowania. </w:t>
      </w:r>
      <w:r w:rsidRPr="00087034">
        <w:rPr>
          <w:rFonts w:eastAsia="Calibri"/>
          <w:lang w:val="pl-PL"/>
        </w:rPr>
        <w:t>Sprofilowanie populacji na podstawie modyfikowalnych i niemodyfikowalnych czynników ryzyka w kierunku rozpoz</w:t>
      </w:r>
      <w:r>
        <w:rPr>
          <w:rFonts w:eastAsia="Calibri"/>
          <w:lang w:val="pl-PL"/>
        </w:rPr>
        <w:t xml:space="preserve">nania grup szczególnie narażonych na zachorowanie na </w:t>
      </w:r>
      <w:proofErr w:type="spellStart"/>
      <w:r>
        <w:rPr>
          <w:rFonts w:eastAsia="Calibri"/>
          <w:lang w:val="pl-PL"/>
        </w:rPr>
        <w:t>PChN</w:t>
      </w:r>
      <w:proofErr w:type="spellEnd"/>
      <w:r>
        <w:rPr>
          <w:rFonts w:eastAsia="Calibri"/>
          <w:lang w:val="pl-PL"/>
        </w:rPr>
        <w:t xml:space="preserve"> powinno stanowić podstawę do podejmowania działań profilaktycznych w zakresie badań przesiewowych. Dalej, dla osób z już rozpoznaną </w:t>
      </w:r>
      <w:proofErr w:type="spellStart"/>
      <w:r>
        <w:rPr>
          <w:rFonts w:eastAsia="Calibri"/>
          <w:lang w:val="pl-PL"/>
        </w:rPr>
        <w:t>PChN</w:t>
      </w:r>
      <w:proofErr w:type="spellEnd"/>
      <w:r>
        <w:rPr>
          <w:rFonts w:eastAsia="Calibri"/>
          <w:lang w:val="pl-PL"/>
        </w:rPr>
        <w:t xml:space="preserve">, istotne są działania z zakresu profilaktyki </w:t>
      </w:r>
      <w:r w:rsidR="00577774">
        <w:rPr>
          <w:rFonts w:eastAsia="Calibri"/>
          <w:lang w:val="pl-PL"/>
        </w:rPr>
        <w:t>trzeciorzędowej</w:t>
      </w:r>
      <w:r>
        <w:rPr>
          <w:rFonts w:eastAsia="Calibri"/>
          <w:lang w:val="pl-PL"/>
        </w:rPr>
        <w:t>, minimaliz</w:t>
      </w:r>
      <w:r w:rsidR="006924C9">
        <w:rPr>
          <w:rFonts w:eastAsia="Calibri"/>
          <w:lang w:val="pl-PL"/>
        </w:rPr>
        <w:t>ujące negatywne skutki choroby.</w:t>
      </w:r>
    </w:p>
    <w:p w14:paraId="1720A138" w14:textId="77777777" w:rsidR="006924C9" w:rsidRDefault="006924C9" w:rsidP="006924C9">
      <w:pPr>
        <w:rPr>
          <w:rFonts w:eastAsia="Calibri"/>
          <w:lang w:val="pl-PL"/>
        </w:rPr>
      </w:pPr>
      <w:r>
        <w:rPr>
          <w:rFonts w:eastAsia="Calibri"/>
          <w:lang w:val="pl-PL"/>
        </w:rPr>
        <w:t xml:space="preserve">Działania na wszystkich poziomach profilaktyki </w:t>
      </w:r>
      <w:r w:rsidR="00BF0FCD">
        <w:rPr>
          <w:rFonts w:eastAsia="Calibri"/>
          <w:lang w:val="pl-PL"/>
        </w:rPr>
        <w:t xml:space="preserve">mogą </w:t>
      </w:r>
      <w:r>
        <w:rPr>
          <w:rFonts w:eastAsia="Calibri"/>
          <w:lang w:val="pl-PL"/>
        </w:rPr>
        <w:t xml:space="preserve">przyczynić się do spowolnienia spadku jakości życia pacjentów z </w:t>
      </w:r>
      <w:proofErr w:type="spellStart"/>
      <w:r>
        <w:rPr>
          <w:rFonts w:eastAsia="Calibri"/>
          <w:lang w:val="pl-PL"/>
        </w:rPr>
        <w:t>PChN</w:t>
      </w:r>
      <w:proofErr w:type="spellEnd"/>
      <w:r>
        <w:rPr>
          <w:rFonts w:eastAsia="Calibri"/>
          <w:lang w:val="pl-PL"/>
        </w:rPr>
        <w:t xml:space="preserve"> oraz obniżenia kosztów bezpośrednich i pośrednich choroby.</w:t>
      </w:r>
    </w:p>
    <w:p w14:paraId="59D59784" w14:textId="77777777" w:rsidR="00464933" w:rsidRPr="00970FC6" w:rsidRDefault="00464933" w:rsidP="00464933">
      <w:pPr>
        <w:pStyle w:val="EYHeading2"/>
        <w:rPr>
          <w:rFonts w:eastAsia="Calibri"/>
          <w:color w:val="000000" w:themeColor="text1"/>
          <w:lang w:val="pl-PL"/>
        </w:rPr>
      </w:pPr>
      <w:bookmarkStart w:id="53" w:name="_Toc486537907"/>
      <w:r w:rsidRPr="00970FC6">
        <w:rPr>
          <w:rFonts w:eastAsia="Calibri"/>
          <w:color w:val="000000" w:themeColor="text1"/>
          <w:lang w:val="pl-PL"/>
        </w:rPr>
        <w:t>Epidemiologia i główne wskaźniki</w:t>
      </w:r>
      <w:bookmarkEnd w:id="53"/>
    </w:p>
    <w:p w14:paraId="7222894D" w14:textId="2314D8D9" w:rsidR="00464933" w:rsidRDefault="00464933" w:rsidP="00464933">
      <w:pPr>
        <w:rPr>
          <w:rFonts w:eastAsia="Calibri"/>
          <w:lang w:val="pl-PL"/>
        </w:rPr>
      </w:pPr>
      <w:r>
        <w:rPr>
          <w:rFonts w:eastAsia="Calibri"/>
          <w:lang w:val="pl-PL"/>
        </w:rPr>
        <w:t xml:space="preserve">Dane dotyczące epidemiologii </w:t>
      </w:r>
      <w:proofErr w:type="spellStart"/>
      <w:r>
        <w:rPr>
          <w:rFonts w:eastAsia="Calibri"/>
          <w:lang w:val="pl-PL"/>
        </w:rPr>
        <w:t>PChN</w:t>
      </w:r>
      <w:proofErr w:type="spellEnd"/>
      <w:r>
        <w:rPr>
          <w:rFonts w:eastAsia="Calibri"/>
          <w:lang w:val="pl-PL"/>
        </w:rPr>
        <w:t xml:space="preserve"> w Polsce, w tym np. chorobowość, zapadalność, śmiertelność, przeciętny czas trwania choroby czy profile pacjentów, nie są systematycznie zbierane i udostępniane. O ile dane dotyczące pacjentów w ostatnim stadium choroby (schyłkowa niewydolność nerek) można pozyskać z uwagi na fakt, że większość pacjentów w tym stadium podlega ciągłej opiece świadczeniodawców raportujących do NFZ, o tyle dane o chorych w początkowych, bezobjawowych stadiach </w:t>
      </w:r>
      <w:proofErr w:type="spellStart"/>
      <w:r>
        <w:rPr>
          <w:rFonts w:eastAsia="Calibri"/>
          <w:lang w:val="pl-PL"/>
        </w:rPr>
        <w:t>PChN</w:t>
      </w:r>
      <w:proofErr w:type="spellEnd"/>
      <w:r>
        <w:rPr>
          <w:rFonts w:eastAsia="Calibri"/>
          <w:lang w:val="pl-PL"/>
        </w:rPr>
        <w:t xml:space="preserve"> są szczególnie </w:t>
      </w:r>
      <w:r w:rsidR="00F55719">
        <w:rPr>
          <w:rFonts w:eastAsia="Calibri"/>
          <w:lang w:val="pl-PL"/>
        </w:rPr>
        <w:t xml:space="preserve">trudne </w:t>
      </w:r>
      <w:r>
        <w:rPr>
          <w:rFonts w:eastAsia="Calibri"/>
          <w:lang w:val="pl-PL"/>
        </w:rPr>
        <w:t xml:space="preserve">do pozyskania. Wynika to głównie z powodu późnego wykrycia i późnego objęcia opieką (bądź braku opieki) chorych przez świadczeniodawców raportujących do płatnika. Brakuje również krajowych, regularnie aktualizowanych badań w zakresie epidemiologii </w:t>
      </w:r>
      <w:proofErr w:type="spellStart"/>
      <w:r>
        <w:rPr>
          <w:rFonts w:eastAsia="Calibri"/>
          <w:lang w:val="pl-PL"/>
        </w:rPr>
        <w:t>PChN</w:t>
      </w:r>
      <w:proofErr w:type="spellEnd"/>
      <w:r>
        <w:rPr>
          <w:rFonts w:eastAsia="Calibri"/>
          <w:lang w:val="pl-PL"/>
        </w:rPr>
        <w:t xml:space="preserve">, dających możliwość oszacowania skali problemu przez ekstrapolację wyniku na całą populację w Polsce – z uwzględnieniem zarówno chorych zdiagnozowanych i leczonych, jak i tych </w:t>
      </w:r>
      <w:r>
        <w:rPr>
          <w:rFonts w:eastAsia="Calibri"/>
          <w:lang w:val="pl-PL"/>
        </w:rPr>
        <w:lastRenderedPageBreak/>
        <w:t>niezdiagnozowanych i nieleczonych, ale wciąż dotkniętych przewlekłą chorobą nerek.</w:t>
      </w:r>
    </w:p>
    <w:p w14:paraId="31FA53D2" w14:textId="77777777" w:rsidR="00464933" w:rsidRPr="00E446D8" w:rsidRDefault="00464933" w:rsidP="00464933">
      <w:pPr>
        <w:pStyle w:val="EYHeading3"/>
        <w:rPr>
          <w:rFonts w:eastAsia="Calibri"/>
          <w:color w:val="000000" w:themeColor="text1"/>
          <w:lang w:val="pl-PL"/>
        </w:rPr>
      </w:pPr>
      <w:bookmarkStart w:id="54" w:name="_Toc486537908"/>
      <w:r w:rsidRPr="00E446D8">
        <w:rPr>
          <w:rFonts w:eastAsia="Calibri"/>
          <w:color w:val="000000" w:themeColor="text1"/>
          <w:lang w:val="pl-PL"/>
        </w:rPr>
        <w:t>Podstawowe dane epidemiologiczne</w:t>
      </w:r>
      <w:bookmarkEnd w:id="54"/>
    </w:p>
    <w:p w14:paraId="6B6E7B13" w14:textId="77777777" w:rsidR="00817BFF" w:rsidRDefault="003111B0" w:rsidP="00464933">
      <w:pPr>
        <w:rPr>
          <w:rFonts w:eastAsia="Calibri"/>
          <w:lang w:val="pl-PL"/>
        </w:rPr>
      </w:pPr>
      <w:r>
        <w:rPr>
          <w:rFonts w:eastAsia="Calibri"/>
          <w:lang w:val="pl-PL"/>
        </w:rPr>
        <w:t xml:space="preserve">Dostępne publikacje w zakresie podstawowych danych epidemiologicznych dotyczą przede wszystkim wskaźnika chorobowości </w:t>
      </w:r>
      <w:proofErr w:type="spellStart"/>
      <w:r>
        <w:rPr>
          <w:rFonts w:eastAsia="Calibri"/>
          <w:lang w:val="pl-PL"/>
        </w:rPr>
        <w:t>PChN</w:t>
      </w:r>
      <w:proofErr w:type="spellEnd"/>
      <w:r>
        <w:rPr>
          <w:rFonts w:eastAsia="Calibri"/>
          <w:lang w:val="pl-PL"/>
        </w:rPr>
        <w:t xml:space="preserve">, w </w:t>
      </w:r>
      <w:r w:rsidR="000E560C">
        <w:rPr>
          <w:rFonts w:eastAsia="Calibri"/>
          <w:lang w:val="pl-PL"/>
        </w:rPr>
        <w:t>niektórych</w:t>
      </w:r>
      <w:r>
        <w:rPr>
          <w:rFonts w:eastAsia="Calibri"/>
          <w:lang w:val="pl-PL"/>
        </w:rPr>
        <w:t xml:space="preserve"> </w:t>
      </w:r>
      <w:r w:rsidR="000E560C">
        <w:rPr>
          <w:rFonts w:eastAsia="Calibri"/>
          <w:lang w:val="pl-PL"/>
        </w:rPr>
        <w:t>badaniach</w:t>
      </w:r>
      <w:r>
        <w:rPr>
          <w:rFonts w:eastAsia="Calibri"/>
          <w:lang w:val="pl-PL"/>
        </w:rPr>
        <w:t xml:space="preserve"> również w podziale na stadia choroby. </w:t>
      </w:r>
      <w:r w:rsidR="00743240">
        <w:rPr>
          <w:rFonts w:eastAsia="Calibri"/>
          <w:lang w:val="pl-PL"/>
        </w:rPr>
        <w:t>Trendy globalne wskazują na systematyczny wzrost liczby osób cho</w:t>
      </w:r>
      <w:r w:rsidR="00D66723">
        <w:rPr>
          <w:rFonts w:eastAsia="Calibri"/>
          <w:lang w:val="pl-PL"/>
        </w:rPr>
        <w:t xml:space="preserve">rych na </w:t>
      </w:r>
      <w:proofErr w:type="spellStart"/>
      <w:r w:rsidR="00D66723">
        <w:rPr>
          <w:rFonts w:eastAsia="Calibri"/>
          <w:lang w:val="pl-PL"/>
        </w:rPr>
        <w:t>PChN</w:t>
      </w:r>
      <w:proofErr w:type="spellEnd"/>
      <w:r w:rsidR="00D66723">
        <w:rPr>
          <w:rFonts w:eastAsia="Calibri"/>
          <w:lang w:val="pl-PL"/>
        </w:rPr>
        <w:t xml:space="preserve">, co może wynikać ze zjawiska </w:t>
      </w:r>
      <w:r w:rsidR="00743240">
        <w:rPr>
          <w:rFonts w:eastAsia="Calibri"/>
          <w:lang w:val="pl-PL"/>
        </w:rPr>
        <w:t xml:space="preserve">starzejącej się populacji i wzrostu </w:t>
      </w:r>
      <w:r w:rsidR="00D66723">
        <w:rPr>
          <w:rFonts w:eastAsia="Calibri"/>
          <w:lang w:val="pl-PL"/>
        </w:rPr>
        <w:t>zachorowań</w:t>
      </w:r>
      <w:r w:rsidR="00743240">
        <w:rPr>
          <w:rFonts w:eastAsia="Calibri"/>
          <w:lang w:val="pl-PL"/>
        </w:rPr>
        <w:t xml:space="preserve"> na choroby cywilizacyjne, takie jak np. nadciśnienie tętnicze, cukrzyca i otyłość. </w:t>
      </w:r>
      <w:r>
        <w:rPr>
          <w:rFonts w:eastAsia="Calibri"/>
          <w:lang w:val="pl-PL"/>
        </w:rPr>
        <w:t xml:space="preserve">Na podstawie </w:t>
      </w:r>
      <w:r w:rsidR="00743240">
        <w:rPr>
          <w:rFonts w:eastAsia="Calibri"/>
          <w:lang w:val="pl-PL"/>
        </w:rPr>
        <w:t xml:space="preserve">dostępnych </w:t>
      </w:r>
      <w:r>
        <w:rPr>
          <w:rFonts w:eastAsia="Calibri"/>
          <w:lang w:val="pl-PL"/>
        </w:rPr>
        <w:t xml:space="preserve">danych </w:t>
      </w:r>
      <w:r w:rsidR="00743240">
        <w:rPr>
          <w:rFonts w:eastAsia="Calibri"/>
          <w:lang w:val="pl-PL"/>
        </w:rPr>
        <w:t xml:space="preserve">międzynarodowych i metaanaliz oraz </w:t>
      </w:r>
      <w:r w:rsidR="007C51A8">
        <w:rPr>
          <w:rFonts w:eastAsia="Calibri"/>
          <w:lang w:val="pl-PL"/>
        </w:rPr>
        <w:t>niepełnych</w:t>
      </w:r>
      <w:r w:rsidR="00743240">
        <w:rPr>
          <w:rFonts w:eastAsia="Calibri"/>
          <w:lang w:val="pl-PL"/>
        </w:rPr>
        <w:t xml:space="preserve"> danych krajowych </w:t>
      </w:r>
      <w:r>
        <w:rPr>
          <w:rFonts w:eastAsia="Calibri"/>
          <w:lang w:val="pl-PL"/>
        </w:rPr>
        <w:t xml:space="preserve">możliwe jest jedynie wysokopoziomowe oszacowanie liczby osób dotkniętych </w:t>
      </w:r>
      <w:proofErr w:type="spellStart"/>
      <w:r>
        <w:rPr>
          <w:rFonts w:eastAsia="Calibri"/>
          <w:lang w:val="pl-PL"/>
        </w:rPr>
        <w:t>PChN</w:t>
      </w:r>
      <w:proofErr w:type="spellEnd"/>
      <w:r>
        <w:rPr>
          <w:rFonts w:eastAsia="Calibri"/>
          <w:lang w:val="pl-PL"/>
        </w:rPr>
        <w:t xml:space="preserve"> w Polsce oraz dystrybucj</w:t>
      </w:r>
      <w:r w:rsidR="000E560C">
        <w:rPr>
          <w:rFonts w:eastAsia="Calibri"/>
          <w:lang w:val="pl-PL"/>
        </w:rPr>
        <w:t>i</w:t>
      </w:r>
      <w:r>
        <w:rPr>
          <w:rFonts w:eastAsia="Calibri"/>
          <w:lang w:val="pl-PL"/>
        </w:rPr>
        <w:t xml:space="preserve"> chorych w poszczególnych stadiach</w:t>
      </w:r>
      <w:r w:rsidR="000E560C">
        <w:rPr>
          <w:rFonts w:eastAsia="Calibri"/>
          <w:lang w:val="pl-PL"/>
        </w:rPr>
        <w:t xml:space="preserve"> zaawansowania choroby. </w:t>
      </w:r>
    </w:p>
    <w:p w14:paraId="0874754D" w14:textId="77777777" w:rsidR="000E560C" w:rsidRDefault="000E560C" w:rsidP="00464933">
      <w:pPr>
        <w:rPr>
          <w:rFonts w:eastAsia="Calibri"/>
          <w:lang w:val="pl-PL"/>
        </w:rPr>
      </w:pPr>
      <w:r>
        <w:rPr>
          <w:rFonts w:eastAsia="Calibri"/>
          <w:lang w:val="pl-PL"/>
        </w:rPr>
        <w:t xml:space="preserve">Chorobowość </w:t>
      </w:r>
      <w:proofErr w:type="spellStart"/>
      <w:r>
        <w:rPr>
          <w:rFonts w:eastAsia="Calibri"/>
          <w:lang w:val="pl-PL"/>
        </w:rPr>
        <w:t>PChN</w:t>
      </w:r>
      <w:proofErr w:type="spellEnd"/>
      <w:r>
        <w:rPr>
          <w:rFonts w:eastAsia="Calibri"/>
          <w:lang w:val="pl-PL"/>
        </w:rPr>
        <w:t xml:space="preserve"> w Polsce, wg źródeł podających bezpośrednio szacowaną liczbę chorych, waha się w przedziale</w:t>
      </w:r>
      <w:r w:rsidR="00CB4D8B">
        <w:rPr>
          <w:rFonts w:eastAsia="Calibri"/>
          <w:lang w:val="pl-PL"/>
        </w:rPr>
        <w:t xml:space="preserve"> od 4 do 5 milionów</w:t>
      </w:r>
      <w:r w:rsidR="00CB4D8B" w:rsidRPr="00CB4D8B">
        <w:rPr>
          <w:rStyle w:val="Odwoanieprzypisudolnego"/>
          <w:rFonts w:eastAsia="Calibri"/>
          <w:sz w:val="22"/>
          <w:lang w:val="pl-PL"/>
        </w:rPr>
        <w:footnoteReference w:id="33"/>
      </w:r>
      <w:r w:rsidR="00CB4D8B">
        <w:rPr>
          <w:rFonts w:eastAsia="Calibri"/>
          <w:lang w:val="pl-PL"/>
        </w:rPr>
        <w:t xml:space="preserve">. </w:t>
      </w:r>
      <w:r w:rsidR="007C51A8">
        <w:rPr>
          <w:rFonts w:eastAsia="Calibri"/>
          <w:lang w:val="pl-PL"/>
        </w:rPr>
        <w:t>Liczba chorych w Polsce</w:t>
      </w:r>
      <w:r w:rsidR="00CB4D8B" w:rsidRPr="007C51A8">
        <w:rPr>
          <w:rFonts w:eastAsia="Calibri"/>
          <w:lang w:val="pl-PL"/>
        </w:rPr>
        <w:t xml:space="preserve"> </w:t>
      </w:r>
      <w:r w:rsidR="007C51A8" w:rsidRPr="007C51A8">
        <w:rPr>
          <w:rFonts w:eastAsia="Calibri"/>
          <w:lang w:val="pl-PL"/>
        </w:rPr>
        <w:t xml:space="preserve">szacowana pośrednio na podstawie ekstrapolacji </w:t>
      </w:r>
      <w:r w:rsidR="007C51A8">
        <w:rPr>
          <w:rFonts w:eastAsia="Calibri"/>
          <w:lang w:val="pl-PL"/>
        </w:rPr>
        <w:t xml:space="preserve">danych o </w:t>
      </w:r>
      <w:r w:rsidR="007C51A8" w:rsidRPr="007C51A8">
        <w:rPr>
          <w:rFonts w:eastAsia="Calibri"/>
          <w:lang w:val="pl-PL"/>
        </w:rPr>
        <w:t xml:space="preserve">chorobowości </w:t>
      </w:r>
      <w:r w:rsidR="007C51A8">
        <w:rPr>
          <w:rFonts w:eastAsia="Calibri"/>
          <w:lang w:val="pl-PL"/>
        </w:rPr>
        <w:t xml:space="preserve">zagranicznej i mierzonej w Polsce na poziomie lokalnym </w:t>
      </w:r>
      <w:r w:rsidR="00CB4D8B" w:rsidRPr="007C51A8">
        <w:rPr>
          <w:rFonts w:eastAsia="Calibri"/>
          <w:lang w:val="pl-PL"/>
        </w:rPr>
        <w:t>ma szersz</w:t>
      </w:r>
      <w:r w:rsidR="007C51A8">
        <w:rPr>
          <w:rFonts w:eastAsia="Calibri"/>
          <w:lang w:val="pl-PL"/>
        </w:rPr>
        <w:t>y przedział ufności i osiąga nawet 7 milionów chorych</w:t>
      </w:r>
      <w:r w:rsidR="007C4B35">
        <w:rPr>
          <w:rFonts w:eastAsia="Calibri"/>
          <w:lang w:val="pl-PL"/>
        </w:rPr>
        <w:t xml:space="preserve"> – </w:t>
      </w:r>
      <w:r w:rsidR="007C51A8">
        <w:rPr>
          <w:rFonts w:eastAsia="Calibri"/>
          <w:lang w:val="pl-PL"/>
        </w:rPr>
        <w:t>przy chorobowości na poziomie 18%)</w:t>
      </w:r>
      <w:r w:rsidR="007C51A8" w:rsidRPr="007C4B35">
        <w:rPr>
          <w:rStyle w:val="Odwoanieprzypisudolnego"/>
          <w:rFonts w:eastAsia="Calibri"/>
          <w:sz w:val="22"/>
          <w:lang w:val="pl-PL"/>
        </w:rPr>
        <w:footnoteReference w:id="34"/>
      </w:r>
      <w:r w:rsidR="007C51A8">
        <w:rPr>
          <w:rFonts w:eastAsia="Calibri"/>
          <w:lang w:val="pl-PL"/>
        </w:rPr>
        <w:t>.</w:t>
      </w:r>
    </w:p>
    <w:p w14:paraId="76C4C5F0" w14:textId="77777777" w:rsidR="00970FC6" w:rsidRDefault="00970FC6" w:rsidP="00464933">
      <w:pPr>
        <w:rPr>
          <w:rFonts w:eastAsia="Calibri"/>
          <w:lang w:val="pl-PL"/>
        </w:rPr>
      </w:pPr>
      <w:r>
        <w:rPr>
          <w:rFonts w:eastAsia="Calibri"/>
          <w:lang w:val="pl-PL"/>
        </w:rPr>
        <w:t>Chorobowość według stadium zaawansowania przewlekłej choroby zgodnie z globalnymi wskaźnikami została przedstawiona w poniższej tabeli.</w:t>
      </w:r>
      <w:r w:rsidR="00E446D8">
        <w:rPr>
          <w:rFonts w:eastAsia="Calibri"/>
          <w:lang w:val="pl-PL"/>
        </w:rPr>
        <w:t xml:space="preserve"> Założono, że chorobowość w Polsce to 11%, czyli 4,2 mln chorych.</w:t>
      </w:r>
    </w:p>
    <w:p w14:paraId="75EA8683" w14:textId="71CFD0AD" w:rsidR="00E446D8" w:rsidRPr="00E446D8" w:rsidRDefault="00E446D8" w:rsidP="00E446D8">
      <w:pPr>
        <w:pStyle w:val="Legenda"/>
        <w:keepNext/>
        <w:rPr>
          <w:b/>
          <w:i w:val="0"/>
          <w:color w:val="auto"/>
          <w:lang w:val="pl-PL"/>
        </w:rPr>
      </w:pPr>
      <w:bookmarkStart w:id="55" w:name="_Toc486537972"/>
      <w:r w:rsidRPr="00E446D8">
        <w:rPr>
          <w:b/>
          <w:i w:val="0"/>
          <w:color w:val="auto"/>
          <w:lang w:val="pl-PL"/>
        </w:rPr>
        <w:t xml:space="preserve">Tabela </w:t>
      </w:r>
      <w:r w:rsidRPr="00E446D8">
        <w:rPr>
          <w:b/>
          <w:i w:val="0"/>
          <w:color w:val="auto"/>
          <w:lang w:val="pl-PL"/>
        </w:rPr>
        <w:fldChar w:fldCharType="begin"/>
      </w:r>
      <w:r w:rsidRPr="00E446D8">
        <w:rPr>
          <w:b/>
          <w:i w:val="0"/>
          <w:color w:val="auto"/>
          <w:lang w:val="pl-PL"/>
        </w:rPr>
        <w:instrText xml:space="preserve"> SEQ Tabela \* ARABIC </w:instrText>
      </w:r>
      <w:r w:rsidRPr="00E446D8">
        <w:rPr>
          <w:b/>
          <w:i w:val="0"/>
          <w:color w:val="auto"/>
          <w:lang w:val="pl-PL"/>
        </w:rPr>
        <w:fldChar w:fldCharType="separate"/>
      </w:r>
      <w:r w:rsidR="005C7285">
        <w:rPr>
          <w:b/>
          <w:i w:val="0"/>
          <w:noProof/>
          <w:color w:val="auto"/>
          <w:lang w:val="pl-PL"/>
        </w:rPr>
        <w:t>9</w:t>
      </w:r>
      <w:r w:rsidRPr="00E446D8">
        <w:rPr>
          <w:b/>
          <w:i w:val="0"/>
          <w:color w:val="auto"/>
          <w:lang w:val="pl-PL"/>
        </w:rPr>
        <w:fldChar w:fldCharType="end"/>
      </w:r>
      <w:r w:rsidRPr="00E446D8">
        <w:rPr>
          <w:b/>
          <w:i w:val="0"/>
          <w:color w:val="auto"/>
          <w:lang w:val="pl-PL"/>
        </w:rPr>
        <w:t xml:space="preserve"> Chorobowość według stadium zaawansowania </w:t>
      </w:r>
      <w:proofErr w:type="spellStart"/>
      <w:r w:rsidRPr="00E446D8">
        <w:rPr>
          <w:b/>
          <w:i w:val="0"/>
          <w:color w:val="auto"/>
          <w:lang w:val="pl-PL"/>
        </w:rPr>
        <w:t>PChN</w:t>
      </w:r>
      <w:proofErr w:type="spellEnd"/>
      <w:r w:rsidRPr="00E446D8">
        <w:rPr>
          <w:b/>
          <w:i w:val="0"/>
          <w:color w:val="auto"/>
          <w:lang w:val="pl-PL"/>
        </w:rPr>
        <w:t xml:space="preserve"> w Polsce na podstawie globalnych wskaźników</w:t>
      </w:r>
      <w:bookmarkEnd w:id="55"/>
    </w:p>
    <w:tbl>
      <w:tblPr>
        <w:tblStyle w:val="PlainTable51"/>
        <w:tblW w:w="9072" w:type="dxa"/>
        <w:tblLook w:val="04A0" w:firstRow="1" w:lastRow="0" w:firstColumn="1" w:lastColumn="0" w:noHBand="0" w:noVBand="1"/>
      </w:tblPr>
      <w:tblGrid>
        <w:gridCol w:w="2268"/>
        <w:gridCol w:w="2268"/>
        <w:gridCol w:w="2268"/>
        <w:gridCol w:w="2268"/>
      </w:tblGrid>
      <w:tr w:rsidR="00154136" w:rsidRPr="00C57815" w14:paraId="5A2F1FDD" w14:textId="77777777" w:rsidTr="005835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Borders>
              <w:right w:val="single" w:sz="4" w:space="0" w:color="808080"/>
            </w:tcBorders>
            <w:shd w:val="clear" w:color="auto" w:fill="FFE600"/>
            <w:vAlign w:val="center"/>
          </w:tcPr>
          <w:p w14:paraId="41375962" w14:textId="77777777" w:rsidR="00154136" w:rsidRPr="00583528" w:rsidRDefault="00E446D8" w:rsidP="00583528">
            <w:pPr>
              <w:jc w:val="left"/>
              <w:rPr>
                <w:rFonts w:eastAsia="Calibri"/>
                <w:b/>
                <w:i w:val="0"/>
                <w:sz w:val="18"/>
                <w:szCs w:val="18"/>
                <w:lang w:val="pl-PL"/>
              </w:rPr>
            </w:pPr>
            <w:r w:rsidRPr="00583528">
              <w:rPr>
                <w:rFonts w:cs="Calibri"/>
                <w:b/>
                <w:i w:val="0"/>
                <w:color w:val="000000"/>
                <w:sz w:val="18"/>
                <w:szCs w:val="18"/>
                <w:lang w:val="pl-PL"/>
              </w:rPr>
              <w:t xml:space="preserve">Stadium zaawansowania </w:t>
            </w:r>
            <w:proofErr w:type="spellStart"/>
            <w:r w:rsidRPr="00583528">
              <w:rPr>
                <w:rFonts w:cs="Calibri"/>
                <w:b/>
                <w:i w:val="0"/>
                <w:color w:val="000000"/>
                <w:sz w:val="18"/>
                <w:szCs w:val="18"/>
                <w:lang w:val="pl-PL"/>
              </w:rPr>
              <w:t>PChN</w:t>
            </w:r>
            <w:proofErr w:type="spellEnd"/>
          </w:p>
        </w:tc>
        <w:tc>
          <w:tcPr>
            <w:tcW w:w="2268" w:type="dxa"/>
            <w:tcBorders>
              <w:left w:val="single" w:sz="4" w:space="0" w:color="808080"/>
              <w:right w:val="single" w:sz="4" w:space="0" w:color="808080" w:themeColor="background1" w:themeShade="80"/>
            </w:tcBorders>
            <w:shd w:val="clear" w:color="auto" w:fill="FFE600"/>
            <w:vAlign w:val="center"/>
          </w:tcPr>
          <w:p w14:paraId="036CDFF1" w14:textId="77777777" w:rsidR="00154136" w:rsidRPr="00583528" w:rsidRDefault="00DC55E5" w:rsidP="005C3892">
            <w:pPr>
              <w:jc w:val="center"/>
              <w:cnfStyle w:val="100000000000" w:firstRow="1" w:lastRow="0" w:firstColumn="0" w:lastColumn="0" w:oddVBand="0" w:evenVBand="0" w:oddHBand="0" w:evenHBand="0" w:firstRowFirstColumn="0" w:firstRowLastColumn="0" w:lastRowFirstColumn="0" w:lastRowLastColumn="0"/>
              <w:rPr>
                <w:rFonts w:eastAsia="Calibri"/>
                <w:b/>
                <w:i w:val="0"/>
                <w:sz w:val="18"/>
                <w:szCs w:val="18"/>
                <w:lang w:val="pl-PL"/>
              </w:rPr>
            </w:pPr>
            <w:r w:rsidRPr="00583528">
              <w:rPr>
                <w:rFonts w:cs="Calibri"/>
                <w:b/>
                <w:i w:val="0"/>
                <w:color w:val="000000"/>
                <w:sz w:val="18"/>
                <w:szCs w:val="18"/>
                <w:lang w:val="pl-PL"/>
              </w:rPr>
              <w:t>C</w:t>
            </w:r>
            <w:r w:rsidR="005A1FCC" w:rsidRPr="00583528">
              <w:rPr>
                <w:rFonts w:cs="Calibri"/>
                <w:b/>
                <w:i w:val="0"/>
                <w:color w:val="000000"/>
                <w:sz w:val="18"/>
                <w:szCs w:val="18"/>
                <w:lang w:val="pl-PL"/>
              </w:rPr>
              <w:t>horobowość</w:t>
            </w:r>
            <w:r w:rsidR="005C3892">
              <w:rPr>
                <w:rFonts w:cs="Calibri"/>
                <w:b/>
                <w:i w:val="0"/>
                <w:color w:val="000000"/>
                <w:sz w:val="18"/>
                <w:szCs w:val="18"/>
                <w:lang w:val="pl-PL"/>
              </w:rPr>
              <w:t xml:space="preserve"> globalna</w:t>
            </w:r>
          </w:p>
        </w:tc>
        <w:tc>
          <w:tcPr>
            <w:tcW w:w="2268" w:type="dxa"/>
            <w:tcBorders>
              <w:left w:val="single" w:sz="4" w:space="0" w:color="808080" w:themeColor="background1" w:themeShade="80"/>
              <w:right w:val="single" w:sz="4" w:space="0" w:color="808080" w:themeColor="background1" w:themeShade="80"/>
            </w:tcBorders>
            <w:shd w:val="clear" w:color="auto" w:fill="FFE600"/>
            <w:vAlign w:val="center"/>
          </w:tcPr>
          <w:p w14:paraId="02D7E424" w14:textId="77777777" w:rsidR="00154136" w:rsidRPr="00583528" w:rsidRDefault="005C3892" w:rsidP="005C3892">
            <w:pPr>
              <w:jc w:val="center"/>
              <w:cnfStyle w:val="100000000000" w:firstRow="1" w:lastRow="0" w:firstColumn="0" w:lastColumn="0" w:oddVBand="0" w:evenVBand="0" w:oddHBand="0" w:evenHBand="0" w:firstRowFirstColumn="0" w:firstRowLastColumn="0" w:lastRowFirstColumn="0" w:lastRowLastColumn="0"/>
              <w:rPr>
                <w:rFonts w:eastAsia="Calibri"/>
                <w:b/>
                <w:i w:val="0"/>
                <w:sz w:val="18"/>
                <w:szCs w:val="18"/>
                <w:lang w:val="pl-PL"/>
              </w:rPr>
            </w:pPr>
            <w:r>
              <w:rPr>
                <w:rFonts w:cs="Calibri"/>
                <w:b/>
                <w:i w:val="0"/>
                <w:color w:val="000000"/>
                <w:sz w:val="18"/>
                <w:szCs w:val="18"/>
                <w:lang w:val="pl-PL"/>
              </w:rPr>
              <w:t xml:space="preserve">Dystrybucja populacji z </w:t>
            </w:r>
            <w:proofErr w:type="spellStart"/>
            <w:r>
              <w:rPr>
                <w:rFonts w:cs="Calibri"/>
                <w:b/>
                <w:i w:val="0"/>
                <w:color w:val="000000"/>
                <w:sz w:val="18"/>
                <w:szCs w:val="18"/>
                <w:lang w:val="pl-PL"/>
              </w:rPr>
              <w:t>PChN</w:t>
            </w:r>
            <w:proofErr w:type="spellEnd"/>
            <w:r>
              <w:rPr>
                <w:rFonts w:cs="Calibri"/>
                <w:b/>
                <w:i w:val="0"/>
                <w:color w:val="000000"/>
                <w:sz w:val="18"/>
                <w:szCs w:val="18"/>
                <w:lang w:val="pl-PL"/>
              </w:rPr>
              <w:t xml:space="preserve"> (%)</w:t>
            </w:r>
          </w:p>
        </w:tc>
        <w:tc>
          <w:tcPr>
            <w:tcW w:w="2268" w:type="dxa"/>
            <w:tcBorders>
              <w:left w:val="single" w:sz="4" w:space="0" w:color="808080" w:themeColor="background1" w:themeShade="80"/>
            </w:tcBorders>
            <w:shd w:val="clear" w:color="auto" w:fill="FFE600"/>
            <w:vAlign w:val="center"/>
          </w:tcPr>
          <w:p w14:paraId="2F57E669" w14:textId="77777777" w:rsidR="00154136" w:rsidRPr="00583528" w:rsidRDefault="005A1FCC" w:rsidP="005C3892">
            <w:pPr>
              <w:ind w:left="-108" w:right="-108"/>
              <w:jc w:val="center"/>
              <w:cnfStyle w:val="100000000000" w:firstRow="1" w:lastRow="0" w:firstColumn="0" w:lastColumn="0" w:oddVBand="0" w:evenVBand="0" w:oddHBand="0" w:evenHBand="0" w:firstRowFirstColumn="0" w:firstRowLastColumn="0" w:lastRowFirstColumn="0" w:lastRowLastColumn="0"/>
              <w:rPr>
                <w:rFonts w:cs="Calibri"/>
                <w:b/>
                <w:i w:val="0"/>
                <w:color w:val="000000"/>
                <w:sz w:val="18"/>
                <w:szCs w:val="18"/>
                <w:lang w:val="pl-PL"/>
              </w:rPr>
            </w:pPr>
            <w:r w:rsidRPr="00583528">
              <w:rPr>
                <w:rFonts w:cs="Calibri"/>
                <w:b/>
                <w:i w:val="0"/>
                <w:color w:val="000000"/>
                <w:sz w:val="18"/>
                <w:szCs w:val="18"/>
                <w:lang w:val="pl-PL"/>
              </w:rPr>
              <w:t>D</w:t>
            </w:r>
            <w:r w:rsidR="00154136" w:rsidRPr="00583528">
              <w:rPr>
                <w:rFonts w:cs="Calibri"/>
                <w:b/>
                <w:i w:val="0"/>
                <w:color w:val="000000"/>
                <w:sz w:val="18"/>
                <w:szCs w:val="18"/>
                <w:lang w:val="pl-PL"/>
              </w:rPr>
              <w:t xml:space="preserve">ystrybucja chorych </w:t>
            </w:r>
            <w:r w:rsidR="00E446D8" w:rsidRPr="00583528">
              <w:rPr>
                <w:rFonts w:cs="Calibri"/>
                <w:b/>
                <w:i w:val="0"/>
                <w:color w:val="000000"/>
                <w:sz w:val="18"/>
                <w:szCs w:val="18"/>
                <w:lang w:val="pl-PL"/>
              </w:rPr>
              <w:br/>
            </w:r>
            <w:r w:rsidRPr="00583528">
              <w:rPr>
                <w:rFonts w:cs="Calibri"/>
                <w:b/>
                <w:i w:val="0"/>
                <w:color w:val="000000"/>
                <w:sz w:val="18"/>
                <w:szCs w:val="18"/>
                <w:lang w:val="pl-PL"/>
              </w:rPr>
              <w:t>w Polsce</w:t>
            </w:r>
            <w:r w:rsidR="005C3892">
              <w:rPr>
                <w:rFonts w:cs="Calibri"/>
                <w:b/>
                <w:i w:val="0"/>
                <w:color w:val="000000"/>
                <w:sz w:val="18"/>
                <w:szCs w:val="18"/>
                <w:lang w:val="pl-PL"/>
              </w:rPr>
              <w:br/>
              <w:t>(</w:t>
            </w:r>
            <w:r w:rsidRPr="00583528">
              <w:rPr>
                <w:rFonts w:cs="Calibri"/>
                <w:b/>
                <w:i w:val="0"/>
                <w:color w:val="000000"/>
                <w:sz w:val="18"/>
                <w:szCs w:val="18"/>
                <w:lang w:val="pl-PL"/>
              </w:rPr>
              <w:t>szacunki na podstawie wskaźników światowych</w:t>
            </w:r>
            <w:r w:rsidR="005C3892">
              <w:rPr>
                <w:rFonts w:cs="Calibri"/>
                <w:b/>
                <w:i w:val="0"/>
                <w:color w:val="000000"/>
                <w:sz w:val="18"/>
                <w:szCs w:val="18"/>
                <w:lang w:val="pl-PL"/>
              </w:rPr>
              <w:t>)</w:t>
            </w:r>
          </w:p>
        </w:tc>
      </w:tr>
      <w:tr w:rsidR="00E446D8" w:rsidRPr="005C3892" w14:paraId="4F9F3BCE" w14:textId="77777777" w:rsidTr="0058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CE64A55" w14:textId="77777777" w:rsidR="00E446D8" w:rsidRPr="00583528" w:rsidRDefault="00E446D8" w:rsidP="00E446D8">
            <w:pPr>
              <w:jc w:val="center"/>
              <w:rPr>
                <w:rFonts w:eastAsia="Calibri"/>
                <w:i w:val="0"/>
                <w:sz w:val="18"/>
                <w:szCs w:val="18"/>
                <w:lang w:val="pl-PL"/>
              </w:rPr>
            </w:pPr>
            <w:r w:rsidRPr="005C3892">
              <w:rPr>
                <w:rFonts w:cs="Calibri"/>
                <w:i w:val="0"/>
                <w:color w:val="000000"/>
                <w:sz w:val="18"/>
                <w:szCs w:val="18"/>
                <w:lang w:val="pl-PL"/>
              </w:rPr>
              <w:t>G1</w:t>
            </w:r>
          </w:p>
        </w:tc>
        <w:tc>
          <w:tcPr>
            <w:tcW w:w="2268" w:type="dxa"/>
            <w:tcBorders>
              <w:right w:val="single" w:sz="4" w:space="0" w:color="808080" w:themeColor="background1" w:themeShade="80"/>
            </w:tcBorders>
            <w:shd w:val="clear" w:color="auto" w:fill="auto"/>
            <w:vAlign w:val="center"/>
          </w:tcPr>
          <w:p w14:paraId="09BE920C"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3,5%</w:t>
            </w:r>
          </w:p>
        </w:tc>
        <w:tc>
          <w:tcPr>
            <w:tcW w:w="2268" w:type="dxa"/>
            <w:tcBorders>
              <w:left w:val="single" w:sz="4" w:space="0" w:color="808080" w:themeColor="background1" w:themeShade="80"/>
              <w:right w:val="single" w:sz="4" w:space="0" w:color="808080" w:themeColor="background1" w:themeShade="80"/>
            </w:tcBorders>
            <w:shd w:val="clear" w:color="auto" w:fill="auto"/>
            <w:vAlign w:val="center"/>
          </w:tcPr>
          <w:p w14:paraId="6EF590CD"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22,6%</w:t>
            </w:r>
          </w:p>
        </w:tc>
        <w:tc>
          <w:tcPr>
            <w:tcW w:w="2268" w:type="dxa"/>
            <w:tcBorders>
              <w:left w:val="single" w:sz="4" w:space="0" w:color="808080" w:themeColor="background1" w:themeShade="80"/>
            </w:tcBorders>
            <w:shd w:val="clear" w:color="auto" w:fill="auto"/>
            <w:vAlign w:val="center"/>
          </w:tcPr>
          <w:p w14:paraId="5DC0FC63"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944 tys</w:t>
            </w:r>
            <w:r w:rsidR="0076185D" w:rsidRPr="00583528">
              <w:rPr>
                <w:sz w:val="18"/>
                <w:szCs w:val="18"/>
                <w:lang w:val="pl-PL"/>
              </w:rPr>
              <w:t>.</w:t>
            </w:r>
          </w:p>
        </w:tc>
      </w:tr>
      <w:tr w:rsidR="00E446D8" w:rsidRPr="005C3892" w14:paraId="77B59AB6" w14:textId="77777777" w:rsidTr="00583528">
        <w:tc>
          <w:tcPr>
            <w:cnfStyle w:val="001000000000" w:firstRow="0" w:lastRow="0" w:firstColumn="1" w:lastColumn="0" w:oddVBand="0" w:evenVBand="0" w:oddHBand="0" w:evenHBand="0" w:firstRowFirstColumn="0" w:firstRowLastColumn="0" w:lastRowFirstColumn="0" w:lastRowLastColumn="0"/>
            <w:tcW w:w="2268" w:type="dxa"/>
            <w:vAlign w:val="center"/>
          </w:tcPr>
          <w:p w14:paraId="2AC61F82" w14:textId="77777777" w:rsidR="00E446D8" w:rsidRPr="00583528" w:rsidRDefault="00E446D8" w:rsidP="00E446D8">
            <w:pPr>
              <w:jc w:val="center"/>
              <w:rPr>
                <w:rFonts w:eastAsia="Calibri"/>
                <w:i w:val="0"/>
                <w:sz w:val="18"/>
                <w:szCs w:val="18"/>
                <w:lang w:val="pl-PL"/>
              </w:rPr>
            </w:pPr>
            <w:r w:rsidRPr="005C3892">
              <w:rPr>
                <w:rFonts w:cs="Calibri"/>
                <w:i w:val="0"/>
                <w:color w:val="000000"/>
                <w:sz w:val="18"/>
                <w:szCs w:val="18"/>
                <w:lang w:val="pl-PL"/>
              </w:rPr>
              <w:t>G2</w:t>
            </w:r>
          </w:p>
        </w:tc>
        <w:tc>
          <w:tcPr>
            <w:tcW w:w="2268" w:type="dxa"/>
            <w:tcBorders>
              <w:right w:val="single" w:sz="4" w:space="0" w:color="808080" w:themeColor="background1" w:themeShade="80"/>
            </w:tcBorders>
            <w:shd w:val="clear" w:color="auto" w:fill="auto"/>
            <w:vAlign w:val="center"/>
          </w:tcPr>
          <w:p w14:paraId="0DB3979F" w14:textId="77777777" w:rsidR="00E446D8" w:rsidRPr="00583528" w:rsidRDefault="00E446D8"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sz w:val="18"/>
                <w:szCs w:val="18"/>
                <w:lang w:val="pl-PL"/>
              </w:rPr>
            </w:pPr>
            <w:r w:rsidRPr="00583528">
              <w:rPr>
                <w:sz w:val="18"/>
                <w:szCs w:val="18"/>
                <w:lang w:val="pl-PL"/>
              </w:rPr>
              <w:t>3,9%</w:t>
            </w:r>
          </w:p>
        </w:tc>
        <w:tc>
          <w:tcPr>
            <w:tcW w:w="2268" w:type="dxa"/>
            <w:tcBorders>
              <w:left w:val="single" w:sz="4" w:space="0" w:color="808080" w:themeColor="background1" w:themeShade="80"/>
              <w:right w:val="single" w:sz="4" w:space="0" w:color="808080" w:themeColor="background1" w:themeShade="80"/>
            </w:tcBorders>
            <w:shd w:val="clear" w:color="auto" w:fill="auto"/>
            <w:vAlign w:val="center"/>
          </w:tcPr>
          <w:p w14:paraId="3DCC56A0" w14:textId="77777777" w:rsidR="00E446D8" w:rsidRPr="00583528" w:rsidRDefault="00E446D8"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sz w:val="18"/>
                <w:szCs w:val="18"/>
                <w:lang w:val="pl-PL"/>
              </w:rPr>
            </w:pPr>
            <w:r w:rsidRPr="00583528">
              <w:rPr>
                <w:sz w:val="18"/>
                <w:szCs w:val="18"/>
                <w:lang w:val="pl-PL"/>
              </w:rPr>
              <w:t>25,2%</w:t>
            </w:r>
          </w:p>
        </w:tc>
        <w:tc>
          <w:tcPr>
            <w:tcW w:w="2268" w:type="dxa"/>
            <w:tcBorders>
              <w:left w:val="single" w:sz="4" w:space="0" w:color="808080" w:themeColor="background1" w:themeShade="80"/>
            </w:tcBorders>
            <w:shd w:val="clear" w:color="auto" w:fill="auto"/>
            <w:vAlign w:val="center"/>
          </w:tcPr>
          <w:p w14:paraId="632403E0" w14:textId="77777777" w:rsidR="00E446D8" w:rsidRPr="00583528" w:rsidRDefault="00E446D8"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sz w:val="18"/>
                <w:szCs w:val="18"/>
                <w:lang w:val="pl-PL"/>
              </w:rPr>
            </w:pPr>
            <w:r w:rsidRPr="00583528">
              <w:rPr>
                <w:sz w:val="18"/>
                <w:szCs w:val="18"/>
                <w:lang w:val="pl-PL"/>
              </w:rPr>
              <w:t>1 052 tys</w:t>
            </w:r>
            <w:r w:rsidR="0076185D" w:rsidRPr="00583528">
              <w:rPr>
                <w:sz w:val="18"/>
                <w:szCs w:val="18"/>
                <w:lang w:val="pl-PL"/>
              </w:rPr>
              <w:t>.</w:t>
            </w:r>
          </w:p>
        </w:tc>
      </w:tr>
      <w:tr w:rsidR="00E446D8" w:rsidRPr="005C3892" w14:paraId="7253AC87" w14:textId="77777777" w:rsidTr="005835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CFD3F5E" w14:textId="77777777" w:rsidR="00E446D8" w:rsidRPr="00583528" w:rsidRDefault="00E446D8" w:rsidP="00E446D8">
            <w:pPr>
              <w:jc w:val="center"/>
              <w:rPr>
                <w:rFonts w:eastAsia="Calibri"/>
                <w:i w:val="0"/>
                <w:sz w:val="18"/>
                <w:szCs w:val="18"/>
                <w:lang w:val="pl-PL"/>
              </w:rPr>
            </w:pPr>
            <w:r w:rsidRPr="005C3892">
              <w:rPr>
                <w:rFonts w:cs="Calibri"/>
                <w:i w:val="0"/>
                <w:color w:val="000000"/>
                <w:sz w:val="18"/>
                <w:szCs w:val="18"/>
                <w:lang w:val="pl-PL"/>
              </w:rPr>
              <w:t>G3</w:t>
            </w:r>
          </w:p>
        </w:tc>
        <w:tc>
          <w:tcPr>
            <w:tcW w:w="2268" w:type="dxa"/>
            <w:tcBorders>
              <w:right w:val="single" w:sz="4" w:space="0" w:color="808080" w:themeColor="background1" w:themeShade="80"/>
            </w:tcBorders>
            <w:shd w:val="clear" w:color="auto" w:fill="auto"/>
            <w:vAlign w:val="center"/>
          </w:tcPr>
          <w:p w14:paraId="6A74A760"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7,6%</w:t>
            </w:r>
          </w:p>
        </w:tc>
        <w:tc>
          <w:tcPr>
            <w:tcW w:w="2268" w:type="dxa"/>
            <w:tcBorders>
              <w:left w:val="single" w:sz="4" w:space="0" w:color="808080" w:themeColor="background1" w:themeShade="80"/>
              <w:right w:val="single" w:sz="4" w:space="0" w:color="808080" w:themeColor="background1" w:themeShade="80"/>
            </w:tcBorders>
            <w:shd w:val="clear" w:color="auto" w:fill="auto"/>
            <w:vAlign w:val="center"/>
          </w:tcPr>
          <w:p w14:paraId="184610DA"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49%</w:t>
            </w:r>
          </w:p>
        </w:tc>
        <w:tc>
          <w:tcPr>
            <w:tcW w:w="2268" w:type="dxa"/>
            <w:tcBorders>
              <w:left w:val="single" w:sz="4" w:space="0" w:color="808080" w:themeColor="background1" w:themeShade="80"/>
            </w:tcBorders>
            <w:shd w:val="clear" w:color="auto" w:fill="auto"/>
            <w:vAlign w:val="center"/>
          </w:tcPr>
          <w:p w14:paraId="53014227"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2 050 tys</w:t>
            </w:r>
            <w:r w:rsidR="0076185D" w:rsidRPr="00583528">
              <w:rPr>
                <w:sz w:val="18"/>
                <w:szCs w:val="18"/>
                <w:lang w:val="pl-PL"/>
              </w:rPr>
              <w:t>.</w:t>
            </w:r>
          </w:p>
        </w:tc>
      </w:tr>
      <w:tr w:rsidR="00E446D8" w:rsidRPr="005C3892" w14:paraId="1097CF68" w14:textId="77777777" w:rsidTr="00583528">
        <w:tc>
          <w:tcPr>
            <w:cnfStyle w:val="001000000000" w:firstRow="0" w:lastRow="0" w:firstColumn="1" w:lastColumn="0" w:oddVBand="0" w:evenVBand="0" w:oddHBand="0" w:evenHBand="0" w:firstRowFirstColumn="0" w:firstRowLastColumn="0" w:lastRowFirstColumn="0" w:lastRowLastColumn="0"/>
            <w:tcW w:w="2268" w:type="dxa"/>
            <w:vAlign w:val="center"/>
          </w:tcPr>
          <w:p w14:paraId="0F0EB97F" w14:textId="77777777" w:rsidR="00E446D8" w:rsidRPr="00583528" w:rsidRDefault="00E446D8" w:rsidP="00E446D8">
            <w:pPr>
              <w:jc w:val="center"/>
              <w:rPr>
                <w:rFonts w:eastAsia="Calibri"/>
                <w:i w:val="0"/>
                <w:sz w:val="18"/>
                <w:szCs w:val="18"/>
                <w:lang w:val="pl-PL"/>
              </w:rPr>
            </w:pPr>
            <w:r w:rsidRPr="005C3892">
              <w:rPr>
                <w:rFonts w:cs="Calibri"/>
                <w:i w:val="0"/>
                <w:color w:val="000000"/>
                <w:sz w:val="18"/>
                <w:szCs w:val="18"/>
                <w:lang w:val="pl-PL"/>
              </w:rPr>
              <w:t>G4</w:t>
            </w:r>
          </w:p>
        </w:tc>
        <w:tc>
          <w:tcPr>
            <w:tcW w:w="2268" w:type="dxa"/>
            <w:tcBorders>
              <w:right w:val="single" w:sz="4" w:space="0" w:color="808080" w:themeColor="background1" w:themeShade="80"/>
            </w:tcBorders>
            <w:shd w:val="clear" w:color="auto" w:fill="auto"/>
            <w:vAlign w:val="center"/>
          </w:tcPr>
          <w:p w14:paraId="42EEF9C1" w14:textId="77777777" w:rsidR="00E446D8" w:rsidRPr="00583528" w:rsidRDefault="00E446D8"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sz w:val="18"/>
                <w:szCs w:val="18"/>
                <w:lang w:val="pl-PL"/>
              </w:rPr>
            </w:pPr>
            <w:r w:rsidRPr="00583528">
              <w:rPr>
                <w:sz w:val="18"/>
                <w:szCs w:val="18"/>
                <w:lang w:val="pl-PL"/>
              </w:rPr>
              <w:t>0,4%</w:t>
            </w:r>
          </w:p>
        </w:tc>
        <w:tc>
          <w:tcPr>
            <w:tcW w:w="2268" w:type="dxa"/>
            <w:tcBorders>
              <w:left w:val="single" w:sz="4" w:space="0" w:color="808080" w:themeColor="background1" w:themeShade="80"/>
              <w:right w:val="single" w:sz="4" w:space="0" w:color="808080" w:themeColor="background1" w:themeShade="80"/>
            </w:tcBorders>
            <w:shd w:val="clear" w:color="auto" w:fill="auto"/>
            <w:vAlign w:val="center"/>
          </w:tcPr>
          <w:p w14:paraId="64F038ED" w14:textId="77777777" w:rsidR="00E446D8" w:rsidRPr="00583528" w:rsidRDefault="00E446D8"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sz w:val="18"/>
                <w:szCs w:val="18"/>
                <w:lang w:val="pl-PL"/>
              </w:rPr>
            </w:pPr>
            <w:r w:rsidRPr="00583528">
              <w:rPr>
                <w:sz w:val="18"/>
                <w:szCs w:val="18"/>
                <w:lang w:val="pl-PL"/>
              </w:rPr>
              <w:t>2,6%</w:t>
            </w:r>
          </w:p>
        </w:tc>
        <w:tc>
          <w:tcPr>
            <w:tcW w:w="2268" w:type="dxa"/>
            <w:tcBorders>
              <w:left w:val="single" w:sz="4" w:space="0" w:color="808080" w:themeColor="background1" w:themeShade="80"/>
            </w:tcBorders>
            <w:shd w:val="clear" w:color="auto" w:fill="auto"/>
            <w:vAlign w:val="center"/>
          </w:tcPr>
          <w:p w14:paraId="6EC4D7CD" w14:textId="77777777" w:rsidR="00E446D8" w:rsidRPr="00583528" w:rsidRDefault="00E446D8"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sz w:val="18"/>
                <w:szCs w:val="18"/>
                <w:lang w:val="pl-PL"/>
              </w:rPr>
            </w:pPr>
            <w:r w:rsidRPr="00583528">
              <w:rPr>
                <w:sz w:val="18"/>
                <w:szCs w:val="18"/>
                <w:lang w:val="pl-PL"/>
              </w:rPr>
              <w:t>108 tys</w:t>
            </w:r>
            <w:r w:rsidR="0076185D" w:rsidRPr="00583528">
              <w:rPr>
                <w:sz w:val="18"/>
                <w:szCs w:val="18"/>
                <w:lang w:val="pl-PL"/>
              </w:rPr>
              <w:t>.</w:t>
            </w:r>
          </w:p>
        </w:tc>
      </w:tr>
      <w:tr w:rsidR="00E446D8" w:rsidRPr="005C3892" w14:paraId="7470C13C" w14:textId="77777777" w:rsidTr="005C3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808080" w:themeColor="background1" w:themeShade="80"/>
            </w:tcBorders>
            <w:vAlign w:val="center"/>
          </w:tcPr>
          <w:p w14:paraId="2AFC8D0B" w14:textId="77777777" w:rsidR="00E446D8" w:rsidRPr="00583528" w:rsidRDefault="00E446D8" w:rsidP="00E446D8">
            <w:pPr>
              <w:jc w:val="center"/>
              <w:rPr>
                <w:rFonts w:eastAsia="Calibri"/>
                <w:i w:val="0"/>
                <w:sz w:val="18"/>
                <w:szCs w:val="18"/>
                <w:lang w:val="pl-PL"/>
              </w:rPr>
            </w:pPr>
            <w:r w:rsidRPr="005C3892">
              <w:rPr>
                <w:rFonts w:cs="Calibri"/>
                <w:i w:val="0"/>
                <w:color w:val="000000"/>
                <w:sz w:val="18"/>
                <w:szCs w:val="18"/>
                <w:lang w:val="pl-PL"/>
              </w:rPr>
              <w:t>G5</w:t>
            </w:r>
          </w:p>
        </w:tc>
        <w:tc>
          <w:tcPr>
            <w:tcW w:w="2268" w:type="dxa"/>
            <w:tcBorders>
              <w:bottom w:val="single" w:sz="4" w:space="0" w:color="808080" w:themeColor="background1" w:themeShade="80"/>
              <w:right w:val="single" w:sz="4" w:space="0" w:color="808080" w:themeColor="background1" w:themeShade="80"/>
            </w:tcBorders>
            <w:shd w:val="clear" w:color="auto" w:fill="auto"/>
            <w:vAlign w:val="center"/>
          </w:tcPr>
          <w:p w14:paraId="35BBA4AE"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0,1%</w:t>
            </w:r>
          </w:p>
        </w:tc>
        <w:tc>
          <w:tcPr>
            <w:tcW w:w="226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AA97E33"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0,6%</w:t>
            </w:r>
          </w:p>
        </w:tc>
        <w:tc>
          <w:tcPr>
            <w:tcW w:w="2268" w:type="dxa"/>
            <w:tcBorders>
              <w:left w:val="single" w:sz="4" w:space="0" w:color="808080" w:themeColor="background1" w:themeShade="80"/>
              <w:bottom w:val="single" w:sz="4" w:space="0" w:color="808080" w:themeColor="background1" w:themeShade="80"/>
            </w:tcBorders>
            <w:shd w:val="clear" w:color="auto" w:fill="auto"/>
            <w:vAlign w:val="center"/>
          </w:tcPr>
          <w:p w14:paraId="535B664F" w14:textId="77777777" w:rsidR="00E446D8" w:rsidRPr="00583528" w:rsidRDefault="00E446D8" w:rsidP="00583528">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sidRPr="00583528">
              <w:rPr>
                <w:sz w:val="18"/>
                <w:szCs w:val="18"/>
                <w:lang w:val="pl-PL"/>
              </w:rPr>
              <w:t>27 tys</w:t>
            </w:r>
            <w:r w:rsidR="0076185D" w:rsidRPr="00583528">
              <w:rPr>
                <w:sz w:val="18"/>
                <w:szCs w:val="18"/>
                <w:lang w:val="pl-PL"/>
              </w:rPr>
              <w:t>.</w:t>
            </w:r>
          </w:p>
        </w:tc>
      </w:tr>
      <w:tr w:rsidR="005C3892" w:rsidRPr="005C3892" w14:paraId="366FBBCD" w14:textId="77777777" w:rsidTr="005C3892">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808080" w:themeColor="background1" w:themeShade="80"/>
            </w:tcBorders>
            <w:shd w:val="clear" w:color="auto" w:fill="F2F2F2" w:themeFill="background1" w:themeFillShade="F2"/>
            <w:vAlign w:val="center"/>
          </w:tcPr>
          <w:p w14:paraId="24B20127" w14:textId="77777777" w:rsidR="005C3892" w:rsidRPr="005C3892" w:rsidRDefault="005C3892" w:rsidP="00E446D8">
            <w:pPr>
              <w:jc w:val="center"/>
              <w:rPr>
                <w:rFonts w:cs="Calibri"/>
                <w:b/>
                <w:i w:val="0"/>
                <w:color w:val="000000"/>
                <w:sz w:val="18"/>
                <w:szCs w:val="18"/>
                <w:lang w:val="pl-PL"/>
              </w:rPr>
            </w:pPr>
            <w:r w:rsidRPr="005C3892">
              <w:rPr>
                <w:rFonts w:cs="Calibri"/>
                <w:b/>
                <w:i w:val="0"/>
                <w:color w:val="000000"/>
                <w:sz w:val="18"/>
                <w:szCs w:val="18"/>
                <w:lang w:val="pl-PL"/>
              </w:rPr>
              <w:t>Razem</w:t>
            </w:r>
          </w:p>
        </w:tc>
        <w:tc>
          <w:tcPr>
            <w:tcW w:w="2268" w:type="dxa"/>
            <w:tcBorders>
              <w:top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BE2ED70" w14:textId="77777777" w:rsidR="005C3892" w:rsidRPr="005C3892" w:rsidRDefault="005C3892"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b/>
                <w:sz w:val="18"/>
                <w:szCs w:val="18"/>
                <w:lang w:val="pl-PL"/>
              </w:rPr>
            </w:pPr>
            <w:r w:rsidRPr="005C3892">
              <w:rPr>
                <w:b/>
                <w:sz w:val="18"/>
                <w:szCs w:val="18"/>
                <w:lang w:val="pl-PL"/>
              </w:rPr>
              <w:t>15,5%</w:t>
            </w:r>
          </w:p>
        </w:tc>
        <w:tc>
          <w:tcPr>
            <w:tcW w:w="2268"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BBBCB57" w14:textId="77777777" w:rsidR="005C3892" w:rsidRPr="005C3892" w:rsidRDefault="005C3892"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b/>
                <w:sz w:val="18"/>
                <w:szCs w:val="18"/>
                <w:lang w:val="pl-PL"/>
              </w:rPr>
            </w:pPr>
            <w:r w:rsidRPr="005C3892">
              <w:rPr>
                <w:b/>
                <w:sz w:val="18"/>
                <w:szCs w:val="18"/>
                <w:lang w:val="pl-PL"/>
              </w:rPr>
              <w:t>100%</w:t>
            </w:r>
          </w:p>
        </w:tc>
        <w:tc>
          <w:tcPr>
            <w:tcW w:w="2268" w:type="dxa"/>
            <w:tcBorders>
              <w:top w:val="single" w:sz="4" w:space="0" w:color="808080" w:themeColor="background1" w:themeShade="80"/>
              <w:left w:val="single" w:sz="4" w:space="0" w:color="808080" w:themeColor="background1" w:themeShade="80"/>
            </w:tcBorders>
            <w:shd w:val="clear" w:color="auto" w:fill="F2F2F2" w:themeFill="background1" w:themeFillShade="F2"/>
            <w:vAlign w:val="center"/>
          </w:tcPr>
          <w:p w14:paraId="5E74806D" w14:textId="77777777" w:rsidR="005C3892" w:rsidRPr="005C3892" w:rsidRDefault="005C3892" w:rsidP="00583528">
            <w:pPr>
              <w:pStyle w:val="EYBulletedList1"/>
              <w:numPr>
                <w:ilvl w:val="0"/>
                <w:numId w:val="0"/>
              </w:num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b/>
                <w:sz w:val="18"/>
                <w:szCs w:val="18"/>
                <w:lang w:val="pl-PL"/>
              </w:rPr>
            </w:pPr>
            <w:r w:rsidRPr="005C3892">
              <w:rPr>
                <w:b/>
                <w:sz w:val="18"/>
                <w:szCs w:val="18"/>
                <w:lang w:val="pl-PL"/>
              </w:rPr>
              <w:t>4 181 tys.</w:t>
            </w:r>
          </w:p>
        </w:tc>
      </w:tr>
    </w:tbl>
    <w:p w14:paraId="77847804" w14:textId="041C85D2" w:rsidR="00970FC6" w:rsidRPr="005A1FCC" w:rsidRDefault="005A1FCC" w:rsidP="005A1FCC">
      <w:pPr>
        <w:rPr>
          <w:rFonts w:eastAsia="Calibri"/>
          <w:sz w:val="18"/>
          <w:szCs w:val="18"/>
        </w:rPr>
      </w:pPr>
      <w:proofErr w:type="spellStart"/>
      <w:r w:rsidRPr="005C3892">
        <w:rPr>
          <w:rFonts w:eastAsia="Calibri"/>
          <w:sz w:val="18"/>
          <w:szCs w:val="18"/>
        </w:rPr>
        <w:t>Źródło</w:t>
      </w:r>
      <w:proofErr w:type="spellEnd"/>
      <w:r w:rsidRPr="005C3892">
        <w:rPr>
          <w:rFonts w:eastAsia="Calibri"/>
          <w:sz w:val="18"/>
          <w:szCs w:val="18"/>
        </w:rPr>
        <w:t xml:space="preserve">: </w:t>
      </w:r>
      <w:proofErr w:type="spellStart"/>
      <w:r w:rsidRPr="005A1FCC">
        <w:rPr>
          <w:rFonts w:eastAsia="Calibri"/>
          <w:sz w:val="18"/>
          <w:szCs w:val="18"/>
        </w:rPr>
        <w:t>Opracowanie</w:t>
      </w:r>
      <w:proofErr w:type="spellEnd"/>
      <w:r w:rsidRPr="005A1FCC">
        <w:rPr>
          <w:rFonts w:eastAsia="Calibri"/>
          <w:sz w:val="18"/>
          <w:szCs w:val="18"/>
        </w:rPr>
        <w:t xml:space="preserve"> </w:t>
      </w:r>
      <w:proofErr w:type="spellStart"/>
      <w:r w:rsidRPr="005A1FCC">
        <w:rPr>
          <w:rFonts w:eastAsia="Calibri"/>
          <w:sz w:val="18"/>
          <w:szCs w:val="18"/>
        </w:rPr>
        <w:t>własne</w:t>
      </w:r>
      <w:proofErr w:type="spellEnd"/>
      <w:r w:rsidRPr="005A1FCC">
        <w:rPr>
          <w:rFonts w:eastAsia="Calibri"/>
          <w:sz w:val="18"/>
          <w:szCs w:val="18"/>
        </w:rPr>
        <w:t xml:space="preserve"> </w:t>
      </w:r>
      <w:proofErr w:type="spellStart"/>
      <w:r w:rsidRPr="005A1FCC">
        <w:rPr>
          <w:rFonts w:eastAsia="Calibri"/>
          <w:sz w:val="18"/>
          <w:szCs w:val="18"/>
        </w:rPr>
        <w:t>na</w:t>
      </w:r>
      <w:proofErr w:type="spellEnd"/>
      <w:r w:rsidRPr="005A1FCC">
        <w:rPr>
          <w:rFonts w:eastAsia="Calibri"/>
          <w:sz w:val="18"/>
          <w:szCs w:val="18"/>
        </w:rPr>
        <w:t xml:space="preserve"> </w:t>
      </w:r>
      <w:proofErr w:type="spellStart"/>
      <w:r w:rsidRPr="005A1FCC">
        <w:rPr>
          <w:rFonts w:eastAsia="Calibri"/>
          <w:sz w:val="18"/>
          <w:szCs w:val="18"/>
        </w:rPr>
        <w:t>podstawie</w:t>
      </w:r>
      <w:proofErr w:type="spellEnd"/>
      <w:r w:rsidRPr="005A1FCC">
        <w:rPr>
          <w:rFonts w:eastAsia="Calibri"/>
          <w:sz w:val="18"/>
          <w:szCs w:val="18"/>
        </w:rPr>
        <w:t xml:space="preserve"> Global Prevalence of Chronic Kidney Disease – A Systematic Review and Meta-Analysis, U</w:t>
      </w:r>
      <w:r>
        <w:rPr>
          <w:rFonts w:eastAsia="Calibri"/>
          <w:sz w:val="18"/>
          <w:szCs w:val="18"/>
        </w:rPr>
        <w:t xml:space="preserve">S National Library of Medicine </w:t>
      </w:r>
      <w:r w:rsidRPr="005A1FCC">
        <w:rPr>
          <w:rFonts w:eastAsia="Calibri"/>
          <w:sz w:val="18"/>
          <w:szCs w:val="18"/>
        </w:rPr>
        <w:t>National Institutes of Health</w:t>
      </w:r>
      <w:r>
        <w:rPr>
          <w:rFonts w:eastAsia="Calibri"/>
          <w:sz w:val="18"/>
          <w:szCs w:val="18"/>
        </w:rPr>
        <w:t xml:space="preserve">, 2016 - </w:t>
      </w:r>
      <w:r w:rsidR="00D2248C" w:rsidRPr="00835025">
        <w:rPr>
          <w:rFonts w:eastAsia="Calibri"/>
        </w:rPr>
        <w:t>https://www.ncbi.nlm.nih.gov/pmc/articles/PMC4934905/</w:t>
      </w:r>
      <w:r>
        <w:rPr>
          <w:rFonts w:eastAsia="Calibri"/>
          <w:sz w:val="18"/>
          <w:szCs w:val="18"/>
        </w:rPr>
        <w:t xml:space="preserve"> (</w:t>
      </w:r>
      <w:proofErr w:type="spellStart"/>
      <w:r>
        <w:rPr>
          <w:rFonts w:eastAsia="Calibri"/>
          <w:sz w:val="18"/>
          <w:szCs w:val="18"/>
        </w:rPr>
        <w:t>dostęp</w:t>
      </w:r>
      <w:proofErr w:type="spellEnd"/>
      <w:r>
        <w:rPr>
          <w:rFonts w:eastAsia="Calibri"/>
          <w:sz w:val="18"/>
          <w:szCs w:val="18"/>
        </w:rPr>
        <w:t xml:space="preserve"> 22.03.2017)</w:t>
      </w:r>
    </w:p>
    <w:p w14:paraId="2FFD3BC6" w14:textId="77777777" w:rsidR="00464933" w:rsidRPr="005E3D78" w:rsidRDefault="00464933" w:rsidP="00464933">
      <w:pPr>
        <w:pStyle w:val="EYHeading3"/>
        <w:rPr>
          <w:rFonts w:eastAsia="Calibri"/>
          <w:color w:val="000000" w:themeColor="text1"/>
          <w:lang w:val="pl-PL"/>
        </w:rPr>
      </w:pPr>
      <w:bookmarkStart w:id="56" w:name="_Toc486537909"/>
      <w:r w:rsidRPr="005E3D78">
        <w:rPr>
          <w:rFonts w:eastAsia="Calibri"/>
          <w:color w:val="000000" w:themeColor="text1"/>
          <w:lang w:val="pl-PL"/>
        </w:rPr>
        <w:lastRenderedPageBreak/>
        <w:t>Dane NFZ o pacjentach objętych</w:t>
      </w:r>
      <w:r w:rsidR="002C33E6" w:rsidRPr="005E3D78">
        <w:rPr>
          <w:rFonts w:eastAsia="Calibri"/>
          <w:color w:val="000000" w:themeColor="text1"/>
          <w:lang w:val="pl-PL"/>
        </w:rPr>
        <w:t xml:space="preserve"> </w:t>
      </w:r>
      <w:r w:rsidRPr="005E3D78">
        <w:rPr>
          <w:rFonts w:eastAsia="Calibri"/>
          <w:color w:val="000000" w:themeColor="text1"/>
          <w:lang w:val="pl-PL"/>
        </w:rPr>
        <w:t>opieką zdrowotną</w:t>
      </w:r>
      <w:bookmarkEnd w:id="56"/>
    </w:p>
    <w:p w14:paraId="20EADA65" w14:textId="4C856080" w:rsidR="00464933" w:rsidRDefault="00A6600E" w:rsidP="00464933">
      <w:pPr>
        <w:rPr>
          <w:rFonts w:eastAsia="Calibri"/>
          <w:lang w:val="pl-PL"/>
        </w:rPr>
      </w:pPr>
      <w:r>
        <w:rPr>
          <w:rFonts w:eastAsia="Calibri"/>
          <w:lang w:val="pl-PL"/>
        </w:rPr>
        <w:t>Dane raportowane do</w:t>
      </w:r>
      <w:r w:rsidR="00464933">
        <w:rPr>
          <w:rFonts w:eastAsia="Calibri"/>
          <w:lang w:val="pl-PL"/>
        </w:rPr>
        <w:t xml:space="preserve"> NFZ nie </w:t>
      </w:r>
      <w:r>
        <w:rPr>
          <w:rFonts w:eastAsia="Calibri"/>
          <w:lang w:val="pl-PL"/>
        </w:rPr>
        <w:t xml:space="preserve">dają pełnego obrazu w zakresie epidemiologii </w:t>
      </w:r>
      <w:proofErr w:type="spellStart"/>
      <w:r>
        <w:rPr>
          <w:rFonts w:eastAsia="Calibri"/>
          <w:lang w:val="pl-PL"/>
        </w:rPr>
        <w:t>PChN</w:t>
      </w:r>
      <w:proofErr w:type="spellEnd"/>
      <w:r w:rsidR="00464933">
        <w:rPr>
          <w:rFonts w:eastAsia="Calibri"/>
          <w:lang w:val="pl-PL"/>
        </w:rPr>
        <w:t xml:space="preserve">. </w:t>
      </w:r>
      <w:r>
        <w:rPr>
          <w:rFonts w:eastAsia="Calibri"/>
          <w:lang w:val="pl-PL"/>
        </w:rPr>
        <w:t>Obejmują</w:t>
      </w:r>
      <w:r w:rsidR="00464933">
        <w:rPr>
          <w:rFonts w:eastAsia="Calibri"/>
          <w:lang w:val="pl-PL"/>
        </w:rPr>
        <w:t xml:space="preserve"> pacjentów zdiagnozowanych, </w:t>
      </w:r>
      <w:r>
        <w:rPr>
          <w:rFonts w:eastAsia="Calibri"/>
          <w:lang w:val="pl-PL"/>
        </w:rPr>
        <w:t>nie uwzględniając</w:t>
      </w:r>
      <w:r w:rsidR="00464933">
        <w:rPr>
          <w:rFonts w:eastAsia="Calibri"/>
          <w:lang w:val="pl-PL"/>
        </w:rPr>
        <w:t xml:space="preserve"> tym samym chorych na </w:t>
      </w:r>
      <w:proofErr w:type="spellStart"/>
      <w:r w:rsidR="00464933">
        <w:rPr>
          <w:rFonts w:eastAsia="Calibri"/>
          <w:lang w:val="pl-PL"/>
        </w:rPr>
        <w:t>PChN</w:t>
      </w:r>
      <w:proofErr w:type="spellEnd"/>
      <w:r w:rsidR="00464933">
        <w:rPr>
          <w:rFonts w:eastAsia="Calibri"/>
          <w:lang w:val="pl-PL"/>
        </w:rPr>
        <w:t xml:space="preserve"> z niepotwierdzon</w:t>
      </w:r>
      <w:r w:rsidR="00F55719">
        <w:rPr>
          <w:rFonts w:eastAsia="Calibri"/>
          <w:lang w:val="pl-PL"/>
        </w:rPr>
        <w:t>ym rozpoznaniem</w:t>
      </w:r>
      <w:r w:rsidR="00464933">
        <w:rPr>
          <w:rFonts w:eastAsia="Calibri"/>
          <w:lang w:val="pl-PL"/>
        </w:rPr>
        <w:t xml:space="preserve">. Szacuje się, że niezdiagnozowane osoby dotknięte </w:t>
      </w:r>
      <w:proofErr w:type="spellStart"/>
      <w:r w:rsidR="00464933">
        <w:rPr>
          <w:rFonts w:eastAsia="Calibri"/>
          <w:lang w:val="pl-PL"/>
        </w:rPr>
        <w:t>PChN</w:t>
      </w:r>
      <w:proofErr w:type="spellEnd"/>
      <w:r w:rsidR="00464933">
        <w:rPr>
          <w:rFonts w:eastAsia="Calibri"/>
          <w:lang w:val="pl-PL"/>
        </w:rPr>
        <w:t xml:space="preserve"> mogą stanowić nawet </w:t>
      </w:r>
      <w:r w:rsidR="00D273E5" w:rsidRPr="00487C5A">
        <w:rPr>
          <w:rFonts w:eastAsia="Calibri"/>
          <w:lang w:val="pl-PL"/>
        </w:rPr>
        <w:t>36</w:t>
      </w:r>
      <w:r w:rsidR="00464933" w:rsidRPr="00487C5A">
        <w:rPr>
          <w:rFonts w:eastAsia="Calibri"/>
          <w:lang w:val="pl-PL"/>
        </w:rPr>
        <w:t>%</w:t>
      </w:r>
      <w:r w:rsidR="00D273E5" w:rsidRPr="00487C5A">
        <w:rPr>
          <w:rFonts w:eastAsia="Calibri"/>
          <w:lang w:val="pl-PL"/>
        </w:rPr>
        <w:t>-66%</w:t>
      </w:r>
      <w:r w:rsidR="00464933">
        <w:rPr>
          <w:rFonts w:eastAsia="Calibri"/>
          <w:lang w:val="pl-PL"/>
        </w:rPr>
        <w:t xml:space="preserve"> wszystkich chorych</w:t>
      </w:r>
      <w:r w:rsidR="00D273E5" w:rsidRPr="00F22FB3">
        <w:rPr>
          <w:rStyle w:val="Odwoanieprzypisudolnego"/>
          <w:rFonts w:eastAsia="Calibri"/>
          <w:sz w:val="22"/>
          <w:lang w:val="pl-PL"/>
        </w:rPr>
        <w:footnoteReference w:id="35"/>
      </w:r>
      <w:r w:rsidR="00464933">
        <w:rPr>
          <w:rFonts w:eastAsia="Calibri"/>
          <w:lang w:val="pl-PL"/>
        </w:rPr>
        <w:t>. Dodatkowo, należy wziąć pod uwagę, że dane raportowane przez świadczeniod</w:t>
      </w:r>
      <w:r w:rsidR="007C4B35">
        <w:rPr>
          <w:rFonts w:eastAsia="Calibri"/>
          <w:lang w:val="pl-PL"/>
        </w:rPr>
        <w:t>awców do NFZ mogą</w:t>
      </w:r>
      <w:r w:rsidR="00772E8B">
        <w:rPr>
          <w:rFonts w:eastAsia="Calibri"/>
          <w:lang w:val="pl-PL"/>
        </w:rPr>
        <w:t xml:space="preserve"> nie być </w:t>
      </w:r>
      <w:r w:rsidR="007C4B35">
        <w:rPr>
          <w:rFonts w:eastAsia="Calibri"/>
          <w:lang w:val="pl-PL"/>
        </w:rPr>
        <w:t xml:space="preserve">rzetelnie </w:t>
      </w:r>
      <w:r w:rsidR="00464933">
        <w:rPr>
          <w:rFonts w:eastAsia="Calibri"/>
          <w:lang w:val="pl-PL"/>
        </w:rPr>
        <w:t>kodowane, zarówno w</w:t>
      </w:r>
      <w:r w:rsidR="006A51D6">
        <w:rPr>
          <w:rFonts w:eastAsia="Calibri"/>
          <w:lang w:val="pl-PL"/>
        </w:rPr>
        <w:t xml:space="preserve"> zakresie</w:t>
      </w:r>
      <w:r w:rsidR="00464933">
        <w:rPr>
          <w:rFonts w:eastAsia="Calibri"/>
          <w:lang w:val="pl-PL"/>
        </w:rPr>
        <w:t xml:space="preserve"> rozpozna</w:t>
      </w:r>
      <w:r w:rsidR="006A51D6">
        <w:rPr>
          <w:rFonts w:eastAsia="Calibri"/>
          <w:lang w:val="pl-PL"/>
        </w:rPr>
        <w:t xml:space="preserve">ń </w:t>
      </w:r>
      <w:r w:rsidR="00464933">
        <w:rPr>
          <w:rFonts w:eastAsia="Calibri"/>
          <w:lang w:val="pl-PL"/>
        </w:rPr>
        <w:t>ICD-10, jak</w:t>
      </w:r>
      <w:r w:rsidR="006A51D6">
        <w:rPr>
          <w:rFonts w:eastAsia="Calibri"/>
          <w:lang w:val="pl-PL"/>
        </w:rPr>
        <w:t xml:space="preserve"> i</w:t>
      </w:r>
      <w:r w:rsidR="00464933">
        <w:rPr>
          <w:rFonts w:eastAsia="Calibri"/>
          <w:lang w:val="pl-PL"/>
        </w:rPr>
        <w:t xml:space="preserve"> </w:t>
      </w:r>
      <w:r w:rsidR="007C4B35">
        <w:rPr>
          <w:rFonts w:eastAsia="Calibri"/>
          <w:lang w:val="pl-PL"/>
        </w:rPr>
        <w:t>przeprowadzonych procedur ICD-9.</w:t>
      </w:r>
    </w:p>
    <w:p w14:paraId="6ACCC13F" w14:textId="6A640573" w:rsidR="00AA6477" w:rsidRPr="00AA6477" w:rsidRDefault="00547DF5" w:rsidP="00AA6477">
      <w:pPr>
        <w:rPr>
          <w:rFonts w:eastAsia="Calibri"/>
          <w:lang w:val="pl-PL"/>
        </w:rPr>
      </w:pPr>
      <w:r>
        <w:rPr>
          <w:rFonts w:eastAsia="Calibri"/>
          <w:lang w:val="pl-PL"/>
        </w:rPr>
        <w:t>Przeanalizowano dane raportowane do NFZ za lata 2013, 2014, 2015</w:t>
      </w:r>
      <w:r w:rsidR="00AA6477">
        <w:rPr>
          <w:rFonts w:eastAsia="Calibri"/>
          <w:lang w:val="pl-PL"/>
        </w:rPr>
        <w:t xml:space="preserve"> </w:t>
      </w:r>
      <w:r w:rsidR="00AA6477" w:rsidRPr="00AA6477">
        <w:rPr>
          <w:rFonts w:eastAsia="Calibri"/>
          <w:lang w:val="pl-PL"/>
        </w:rPr>
        <w:t xml:space="preserve">dla </w:t>
      </w:r>
      <w:r w:rsidR="00AA6477">
        <w:rPr>
          <w:rFonts w:eastAsia="Calibri"/>
          <w:lang w:val="pl-PL"/>
        </w:rPr>
        <w:t>następujących rozpoznań</w:t>
      </w:r>
      <w:r w:rsidR="00AA6477" w:rsidRPr="00AA6477">
        <w:rPr>
          <w:rFonts w:eastAsia="Calibri"/>
          <w:lang w:val="pl-PL"/>
        </w:rPr>
        <w:t xml:space="preserve"> ICD-10:</w:t>
      </w:r>
    </w:p>
    <w:p w14:paraId="4C1E8D6A" w14:textId="6A5F2503" w:rsidR="00AA6477" w:rsidRPr="00A12838" w:rsidRDefault="00AA6477" w:rsidP="00F760DC">
      <w:pPr>
        <w:pStyle w:val="EYBulletedList1"/>
        <w:numPr>
          <w:ilvl w:val="0"/>
          <w:numId w:val="11"/>
        </w:numPr>
        <w:ind w:left="289" w:hanging="289"/>
        <w:jc w:val="both"/>
        <w:rPr>
          <w:rFonts w:eastAsia="Calibri"/>
          <w:lang w:val="pl-PL"/>
        </w:rPr>
      </w:pPr>
      <w:r w:rsidRPr="00F760DC">
        <w:rPr>
          <w:rFonts w:eastAsia="Calibri"/>
          <w:sz w:val="22"/>
          <w:lang w:val="pl-PL"/>
        </w:rPr>
        <w:t>N18 Przewlekła niewydolność nerek</w:t>
      </w:r>
    </w:p>
    <w:p w14:paraId="45A3A226" w14:textId="5F1BC771" w:rsidR="00AA6477" w:rsidRPr="00A12838" w:rsidRDefault="00AA6477" w:rsidP="00F760DC">
      <w:pPr>
        <w:pStyle w:val="EYBulletedList1"/>
        <w:numPr>
          <w:ilvl w:val="0"/>
          <w:numId w:val="11"/>
        </w:numPr>
        <w:ind w:left="289" w:hanging="289"/>
        <w:jc w:val="both"/>
        <w:rPr>
          <w:rFonts w:eastAsia="Calibri"/>
          <w:lang w:val="pl-PL"/>
        </w:rPr>
      </w:pPr>
      <w:r w:rsidRPr="00F760DC">
        <w:rPr>
          <w:rFonts w:eastAsia="Calibri"/>
          <w:sz w:val="22"/>
          <w:lang w:val="pl-PL"/>
        </w:rPr>
        <w:t>N18.0 Schyłkowa niewydolność nerek</w:t>
      </w:r>
    </w:p>
    <w:p w14:paraId="319064D2" w14:textId="47BF34B5" w:rsidR="00AA6477" w:rsidRPr="00A12838" w:rsidRDefault="00AA6477" w:rsidP="00F760DC">
      <w:pPr>
        <w:pStyle w:val="EYBulletedList1"/>
        <w:numPr>
          <w:ilvl w:val="0"/>
          <w:numId w:val="11"/>
        </w:numPr>
        <w:ind w:left="289" w:hanging="289"/>
        <w:jc w:val="both"/>
        <w:rPr>
          <w:rFonts w:eastAsia="Calibri"/>
          <w:lang w:val="pl-PL"/>
        </w:rPr>
      </w:pPr>
      <w:r w:rsidRPr="00F760DC">
        <w:rPr>
          <w:rFonts w:eastAsia="Calibri"/>
          <w:sz w:val="22"/>
          <w:lang w:val="pl-PL"/>
        </w:rPr>
        <w:t>N18.8 Inna przewlekła niewydolność nerek</w:t>
      </w:r>
    </w:p>
    <w:p w14:paraId="0B789E0A" w14:textId="0D55EADC" w:rsidR="00AA6477" w:rsidRPr="00A12838" w:rsidRDefault="00AA6477" w:rsidP="00F760DC">
      <w:pPr>
        <w:pStyle w:val="EYBulletedList1"/>
        <w:numPr>
          <w:ilvl w:val="0"/>
          <w:numId w:val="11"/>
        </w:numPr>
        <w:ind w:left="289" w:hanging="289"/>
        <w:jc w:val="both"/>
        <w:rPr>
          <w:rFonts w:eastAsia="Calibri"/>
          <w:lang w:val="pl-PL"/>
        </w:rPr>
      </w:pPr>
      <w:r w:rsidRPr="00F760DC">
        <w:rPr>
          <w:rFonts w:eastAsia="Calibri"/>
          <w:sz w:val="22"/>
          <w:lang w:val="pl-PL"/>
        </w:rPr>
        <w:t>N18.9 Przewlekła niewydolność nerek, nieokreślona</w:t>
      </w:r>
    </w:p>
    <w:p w14:paraId="43613085" w14:textId="341FAB00" w:rsidR="00AA6477" w:rsidRPr="00A12838" w:rsidRDefault="00AA6477" w:rsidP="00F760DC">
      <w:pPr>
        <w:pStyle w:val="EYBulletedList1"/>
        <w:numPr>
          <w:ilvl w:val="0"/>
          <w:numId w:val="11"/>
        </w:numPr>
        <w:ind w:left="289" w:hanging="289"/>
        <w:jc w:val="both"/>
        <w:rPr>
          <w:rFonts w:eastAsia="Calibri"/>
          <w:lang w:val="pl-PL"/>
        </w:rPr>
      </w:pPr>
      <w:r w:rsidRPr="00F760DC">
        <w:rPr>
          <w:rFonts w:eastAsia="Calibri"/>
          <w:sz w:val="22"/>
          <w:lang w:val="pl-PL"/>
        </w:rPr>
        <w:t>N19 Nieokreślona niewydolność nerek</w:t>
      </w:r>
    </w:p>
    <w:p w14:paraId="36732EC8" w14:textId="0BB03BCD" w:rsidR="001F6A55" w:rsidRDefault="00AA6477" w:rsidP="00AA6477">
      <w:pPr>
        <w:rPr>
          <w:rFonts w:eastAsia="Calibri"/>
          <w:lang w:val="pl-PL"/>
        </w:rPr>
      </w:pPr>
      <w:r>
        <w:rPr>
          <w:rFonts w:eastAsia="Calibri"/>
          <w:lang w:val="pl-PL"/>
        </w:rPr>
        <w:t>Analizowane dane objęły w</w:t>
      </w:r>
      <w:r w:rsidRPr="00AA6477">
        <w:rPr>
          <w:rFonts w:eastAsia="Calibri"/>
          <w:lang w:val="pl-PL"/>
        </w:rPr>
        <w:t>szystkie</w:t>
      </w:r>
      <w:r>
        <w:rPr>
          <w:rFonts w:eastAsia="Calibri"/>
          <w:lang w:val="pl-PL"/>
        </w:rPr>
        <w:t xml:space="preserve"> rodzaje udzielonych świadczeń, p</w:t>
      </w:r>
      <w:r w:rsidRPr="00AA6477">
        <w:rPr>
          <w:rFonts w:eastAsia="Calibri"/>
          <w:lang w:val="pl-PL"/>
        </w:rPr>
        <w:t>rodukty rozliczeniowe</w:t>
      </w:r>
      <w:r>
        <w:rPr>
          <w:rFonts w:eastAsia="Calibri"/>
          <w:lang w:val="pl-PL"/>
        </w:rPr>
        <w:t>, procedury ICD-9</w:t>
      </w:r>
      <w:r w:rsidR="001F6A55">
        <w:rPr>
          <w:rFonts w:eastAsia="Calibri"/>
          <w:lang w:val="pl-PL"/>
        </w:rPr>
        <w:t xml:space="preserve"> udzielone pacjentom z powyższymi </w:t>
      </w:r>
      <w:proofErr w:type="spellStart"/>
      <w:r w:rsidR="001F6A55">
        <w:rPr>
          <w:rFonts w:eastAsia="Calibri"/>
          <w:lang w:val="pl-PL"/>
        </w:rPr>
        <w:t>rozpoznaniami</w:t>
      </w:r>
      <w:proofErr w:type="spellEnd"/>
      <w:r w:rsidR="001F6A55">
        <w:rPr>
          <w:rFonts w:eastAsia="Calibri"/>
          <w:lang w:val="pl-PL"/>
        </w:rPr>
        <w:t>.</w:t>
      </w:r>
    </w:p>
    <w:p w14:paraId="5DED1728" w14:textId="6191E42E" w:rsidR="00212318" w:rsidRDefault="00AA6477" w:rsidP="00AA6477">
      <w:pPr>
        <w:rPr>
          <w:rFonts w:eastAsia="Calibri"/>
          <w:lang w:val="pl-PL"/>
        </w:rPr>
      </w:pPr>
      <w:r>
        <w:rPr>
          <w:rFonts w:eastAsia="Calibri"/>
          <w:lang w:val="pl-PL"/>
        </w:rPr>
        <w:t xml:space="preserve">W poniższej tabeli przedstawiono liczbę pacjentów, którzy skorzystali ze świadczeń zdrowotnych </w:t>
      </w:r>
      <w:r w:rsidR="001F6A55">
        <w:rPr>
          <w:rFonts w:eastAsia="Calibri"/>
          <w:lang w:val="pl-PL"/>
        </w:rPr>
        <w:t xml:space="preserve">przynajmniej jeden raz </w:t>
      </w:r>
      <w:r>
        <w:rPr>
          <w:rFonts w:eastAsia="Calibri"/>
          <w:lang w:val="pl-PL"/>
        </w:rPr>
        <w:t>w danym roku</w:t>
      </w:r>
      <w:r w:rsidR="00212318">
        <w:rPr>
          <w:rFonts w:eastAsia="Calibri"/>
          <w:lang w:val="pl-PL"/>
        </w:rPr>
        <w:t>, a jako rozpoznanie zasadnicze przypisano im jeden z wymienionych powyżej kodów ICD-10.</w:t>
      </w:r>
    </w:p>
    <w:p w14:paraId="64DB3C15" w14:textId="3A1F89F1" w:rsidR="00212318" w:rsidRPr="00F760DC" w:rsidRDefault="00212318" w:rsidP="00F760DC">
      <w:pPr>
        <w:pStyle w:val="Legenda"/>
        <w:keepNext/>
        <w:rPr>
          <w:b/>
          <w:i w:val="0"/>
          <w:color w:val="auto"/>
          <w:lang w:val="pl-PL"/>
        </w:rPr>
      </w:pPr>
      <w:bookmarkStart w:id="57" w:name="_Toc486537973"/>
      <w:r w:rsidRPr="00F760DC">
        <w:rPr>
          <w:b/>
          <w:i w:val="0"/>
          <w:color w:val="auto"/>
          <w:lang w:val="pl-PL"/>
        </w:rPr>
        <w:t xml:space="preserve">Tabela </w:t>
      </w:r>
      <w:r w:rsidRPr="00F760DC">
        <w:rPr>
          <w:b/>
          <w:i w:val="0"/>
          <w:color w:val="auto"/>
          <w:lang w:val="pl-PL"/>
        </w:rPr>
        <w:fldChar w:fldCharType="begin"/>
      </w:r>
      <w:r w:rsidRPr="00F760DC">
        <w:rPr>
          <w:b/>
          <w:i w:val="0"/>
          <w:color w:val="auto"/>
          <w:lang w:val="pl-PL"/>
        </w:rPr>
        <w:instrText xml:space="preserve"> SEQ Tabela \* ARABIC </w:instrText>
      </w:r>
      <w:r w:rsidRPr="00F760DC">
        <w:rPr>
          <w:b/>
          <w:i w:val="0"/>
          <w:color w:val="auto"/>
          <w:lang w:val="pl-PL"/>
        </w:rPr>
        <w:fldChar w:fldCharType="separate"/>
      </w:r>
      <w:r w:rsidR="005C7285">
        <w:rPr>
          <w:b/>
          <w:i w:val="0"/>
          <w:noProof/>
          <w:color w:val="auto"/>
          <w:lang w:val="pl-PL"/>
        </w:rPr>
        <w:t>10</w:t>
      </w:r>
      <w:r w:rsidRPr="00F760DC">
        <w:rPr>
          <w:b/>
          <w:i w:val="0"/>
          <w:color w:val="auto"/>
          <w:lang w:val="pl-PL"/>
        </w:rPr>
        <w:fldChar w:fldCharType="end"/>
      </w:r>
      <w:r w:rsidRPr="00F760DC">
        <w:rPr>
          <w:b/>
          <w:i w:val="0"/>
          <w:color w:val="auto"/>
          <w:lang w:val="pl-PL"/>
        </w:rPr>
        <w:t xml:space="preserve"> Liczba pacjentów</w:t>
      </w:r>
      <w:r w:rsidR="00903DB2">
        <w:rPr>
          <w:b/>
          <w:i w:val="0"/>
          <w:color w:val="auto"/>
          <w:lang w:val="pl-PL"/>
        </w:rPr>
        <w:t xml:space="preserve"> </w:t>
      </w:r>
      <w:r w:rsidRPr="00F760DC">
        <w:rPr>
          <w:b/>
          <w:i w:val="0"/>
          <w:color w:val="auto"/>
          <w:lang w:val="pl-PL"/>
        </w:rPr>
        <w:t>z</w:t>
      </w:r>
      <w:r w:rsidR="00903DB2">
        <w:rPr>
          <w:b/>
          <w:i w:val="0"/>
          <w:color w:val="auto"/>
          <w:lang w:val="pl-PL"/>
        </w:rPr>
        <w:t xml:space="preserve"> </w:t>
      </w:r>
      <w:r w:rsidRPr="00F760DC">
        <w:rPr>
          <w:b/>
          <w:i w:val="0"/>
          <w:color w:val="auto"/>
          <w:lang w:val="pl-PL"/>
        </w:rPr>
        <w:t xml:space="preserve">rozpoznaniem </w:t>
      </w:r>
      <w:proofErr w:type="spellStart"/>
      <w:r w:rsidRPr="00F760DC">
        <w:rPr>
          <w:b/>
          <w:i w:val="0"/>
          <w:color w:val="auto"/>
          <w:lang w:val="pl-PL"/>
        </w:rPr>
        <w:t>PChN</w:t>
      </w:r>
      <w:proofErr w:type="spellEnd"/>
      <w:r w:rsidRPr="00F760DC">
        <w:rPr>
          <w:b/>
          <w:i w:val="0"/>
          <w:color w:val="auto"/>
          <w:lang w:val="pl-PL"/>
        </w:rPr>
        <w:t xml:space="preserve"> (N18, N18.0, N18.8, N18.9, N19), którzy skorzystali przynajmniej jeden raz ze świadczeń zdrowotnych w danym roku</w:t>
      </w:r>
      <w:bookmarkEnd w:id="57"/>
    </w:p>
    <w:p w14:paraId="51C29E8F" w14:textId="6401221A" w:rsidR="00AA6477" w:rsidRDefault="00212318" w:rsidP="00AA6477">
      <w:pPr>
        <w:rPr>
          <w:rFonts w:eastAsia="Calibri"/>
          <w:lang w:val="pl-PL"/>
        </w:rPr>
      </w:pPr>
      <w:r>
        <w:rPr>
          <w:rFonts w:eastAsia="Calibri"/>
          <w:noProof/>
          <w:lang w:val="pl-PL" w:eastAsia="pl-PL"/>
        </w:rPr>
        <w:drawing>
          <wp:inline distT="0" distB="0" distL="0" distR="0" wp14:anchorId="2DFB60CC" wp14:editId="62DA1915">
            <wp:extent cx="5810250" cy="1579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0" cy="1579245"/>
                    </a:xfrm>
                    <a:prstGeom prst="rect">
                      <a:avLst/>
                    </a:prstGeom>
                    <a:noFill/>
                  </pic:spPr>
                </pic:pic>
              </a:graphicData>
            </a:graphic>
          </wp:inline>
        </w:drawing>
      </w:r>
      <w:r w:rsidR="00AA6477">
        <w:rPr>
          <w:rFonts w:eastAsia="Calibri"/>
          <w:lang w:val="pl-PL"/>
        </w:rPr>
        <w:t xml:space="preserve"> </w:t>
      </w:r>
    </w:p>
    <w:p w14:paraId="5145A959" w14:textId="58AC974C" w:rsidR="00212318" w:rsidRDefault="00212318" w:rsidP="00AA6477">
      <w:pPr>
        <w:rPr>
          <w:rFonts w:eastAsia="Calibri"/>
          <w:sz w:val="18"/>
          <w:szCs w:val="18"/>
          <w:lang w:val="pl-PL"/>
        </w:rPr>
      </w:pPr>
      <w:r w:rsidRPr="00F760DC">
        <w:rPr>
          <w:rFonts w:eastAsia="Calibri"/>
          <w:sz w:val="18"/>
          <w:szCs w:val="18"/>
          <w:lang w:val="pl-PL"/>
        </w:rPr>
        <w:t>Źródło: Dane NFZ</w:t>
      </w:r>
    </w:p>
    <w:p w14:paraId="23CB2E29" w14:textId="041EF1B0" w:rsidR="00212318" w:rsidRPr="00F760DC" w:rsidRDefault="001F6A55" w:rsidP="00AA6477">
      <w:pPr>
        <w:rPr>
          <w:rFonts w:eastAsia="Calibri"/>
          <w:lang w:val="pl-PL"/>
        </w:rPr>
      </w:pPr>
      <w:r w:rsidRPr="00F760DC">
        <w:rPr>
          <w:rFonts w:eastAsia="Calibri"/>
          <w:lang w:val="pl-PL"/>
        </w:rPr>
        <w:t>Łączne wydatki NFZ</w:t>
      </w:r>
      <w:r>
        <w:rPr>
          <w:rFonts w:eastAsia="Calibri"/>
          <w:lang w:val="pl-PL"/>
        </w:rPr>
        <w:t xml:space="preserve"> na leczenie pacjentów z </w:t>
      </w:r>
      <w:proofErr w:type="spellStart"/>
      <w:r>
        <w:rPr>
          <w:rFonts w:eastAsia="Calibri"/>
          <w:lang w:val="pl-PL"/>
        </w:rPr>
        <w:t>PChN</w:t>
      </w:r>
      <w:proofErr w:type="spellEnd"/>
      <w:r>
        <w:rPr>
          <w:rFonts w:eastAsia="Calibri"/>
          <w:lang w:val="pl-PL"/>
        </w:rPr>
        <w:t xml:space="preserve"> </w:t>
      </w:r>
      <w:r w:rsidR="004D67EE">
        <w:rPr>
          <w:rFonts w:eastAsia="Calibri"/>
          <w:lang w:val="pl-PL"/>
        </w:rPr>
        <w:t xml:space="preserve">w analizowanych latach wynosiły średnio </w:t>
      </w:r>
      <w:r w:rsidR="004D67EE" w:rsidRPr="00E24A43">
        <w:rPr>
          <w:rFonts w:eastAsia="Calibri"/>
          <w:lang w:val="pl-PL"/>
        </w:rPr>
        <w:t>1 432 mln</w:t>
      </w:r>
      <w:r w:rsidR="00F760DC">
        <w:rPr>
          <w:rFonts w:eastAsia="Calibri"/>
          <w:lang w:val="pl-PL"/>
        </w:rPr>
        <w:t xml:space="preserve"> PLN</w:t>
      </w:r>
      <w:r w:rsidR="004D67EE">
        <w:rPr>
          <w:rFonts w:eastAsia="Calibri"/>
          <w:lang w:val="pl-PL"/>
        </w:rPr>
        <w:t xml:space="preserve">. </w:t>
      </w:r>
    </w:p>
    <w:p w14:paraId="1B8EFBF8" w14:textId="608027A2" w:rsidR="00212318" w:rsidRPr="00F760DC" w:rsidRDefault="00212318" w:rsidP="00F760DC">
      <w:pPr>
        <w:pStyle w:val="Legenda"/>
        <w:keepNext/>
        <w:rPr>
          <w:b/>
          <w:i w:val="0"/>
          <w:color w:val="auto"/>
          <w:lang w:val="pl-PL"/>
        </w:rPr>
      </w:pPr>
      <w:bookmarkStart w:id="58" w:name="_Toc486537974"/>
      <w:r w:rsidRPr="00F760DC">
        <w:rPr>
          <w:b/>
          <w:i w:val="0"/>
          <w:color w:val="auto"/>
          <w:lang w:val="pl-PL"/>
        </w:rPr>
        <w:lastRenderedPageBreak/>
        <w:t xml:space="preserve">Tabela </w:t>
      </w:r>
      <w:r w:rsidRPr="00F760DC">
        <w:rPr>
          <w:b/>
          <w:i w:val="0"/>
          <w:color w:val="auto"/>
          <w:lang w:val="pl-PL"/>
        </w:rPr>
        <w:fldChar w:fldCharType="begin"/>
      </w:r>
      <w:r w:rsidRPr="00F760DC">
        <w:rPr>
          <w:b/>
          <w:i w:val="0"/>
          <w:color w:val="auto"/>
          <w:lang w:val="pl-PL"/>
        </w:rPr>
        <w:instrText xml:space="preserve"> SEQ Tabela \* ARABIC </w:instrText>
      </w:r>
      <w:r w:rsidRPr="00F760DC">
        <w:rPr>
          <w:b/>
          <w:i w:val="0"/>
          <w:color w:val="auto"/>
          <w:lang w:val="pl-PL"/>
        </w:rPr>
        <w:fldChar w:fldCharType="separate"/>
      </w:r>
      <w:r w:rsidR="005C7285">
        <w:rPr>
          <w:b/>
          <w:i w:val="0"/>
          <w:noProof/>
          <w:color w:val="auto"/>
          <w:lang w:val="pl-PL"/>
        </w:rPr>
        <w:t>11</w:t>
      </w:r>
      <w:r w:rsidRPr="00F760DC">
        <w:rPr>
          <w:b/>
          <w:i w:val="0"/>
          <w:color w:val="auto"/>
          <w:lang w:val="pl-PL"/>
        </w:rPr>
        <w:fldChar w:fldCharType="end"/>
      </w:r>
      <w:r w:rsidRPr="00F760DC">
        <w:rPr>
          <w:b/>
          <w:i w:val="0"/>
          <w:color w:val="auto"/>
          <w:lang w:val="pl-PL"/>
        </w:rPr>
        <w:t xml:space="preserve"> Wydatki NFZ</w:t>
      </w:r>
      <w:r w:rsidR="00903DB2">
        <w:rPr>
          <w:b/>
          <w:i w:val="0"/>
          <w:color w:val="auto"/>
          <w:lang w:val="pl-PL"/>
        </w:rPr>
        <w:t xml:space="preserve"> na pacjentów </w:t>
      </w:r>
      <w:r w:rsidR="00903DB2" w:rsidRPr="00E24A43">
        <w:rPr>
          <w:b/>
          <w:i w:val="0"/>
          <w:color w:val="auto"/>
          <w:lang w:val="pl-PL"/>
        </w:rPr>
        <w:t>z</w:t>
      </w:r>
      <w:r w:rsidR="00903DB2">
        <w:rPr>
          <w:b/>
          <w:i w:val="0"/>
          <w:color w:val="auto"/>
          <w:lang w:val="pl-PL"/>
        </w:rPr>
        <w:t xml:space="preserve"> </w:t>
      </w:r>
      <w:r w:rsidR="00903DB2" w:rsidRPr="00E24A43">
        <w:rPr>
          <w:b/>
          <w:i w:val="0"/>
          <w:color w:val="auto"/>
          <w:lang w:val="pl-PL"/>
        </w:rPr>
        <w:t xml:space="preserve">rozpoznaniem </w:t>
      </w:r>
      <w:proofErr w:type="spellStart"/>
      <w:r w:rsidR="00903DB2" w:rsidRPr="00E24A43">
        <w:rPr>
          <w:b/>
          <w:i w:val="0"/>
          <w:color w:val="auto"/>
          <w:lang w:val="pl-PL"/>
        </w:rPr>
        <w:t>PChN</w:t>
      </w:r>
      <w:proofErr w:type="spellEnd"/>
      <w:r w:rsidR="00903DB2" w:rsidRPr="00E24A43">
        <w:rPr>
          <w:b/>
          <w:i w:val="0"/>
          <w:color w:val="auto"/>
          <w:lang w:val="pl-PL"/>
        </w:rPr>
        <w:t xml:space="preserve"> (N18, N18.0, N18.8, N18.9, N19)</w:t>
      </w:r>
      <w:r w:rsidRPr="00F760DC">
        <w:rPr>
          <w:b/>
          <w:i w:val="0"/>
          <w:color w:val="auto"/>
          <w:lang w:val="pl-PL"/>
        </w:rPr>
        <w:t xml:space="preserve"> </w:t>
      </w:r>
      <w:r w:rsidR="00903DB2">
        <w:rPr>
          <w:b/>
          <w:i w:val="0"/>
          <w:color w:val="auto"/>
          <w:lang w:val="pl-PL"/>
        </w:rPr>
        <w:t xml:space="preserve">w latach </w:t>
      </w:r>
      <w:r w:rsidRPr="00F760DC">
        <w:rPr>
          <w:b/>
          <w:i w:val="0"/>
          <w:color w:val="auto"/>
          <w:lang w:val="pl-PL"/>
        </w:rPr>
        <w:t>2013 - 2015</w:t>
      </w:r>
      <w:bookmarkEnd w:id="58"/>
    </w:p>
    <w:p w14:paraId="492BA2B2" w14:textId="27C1223C" w:rsidR="00212318" w:rsidRDefault="00212318" w:rsidP="00AA6477">
      <w:pPr>
        <w:rPr>
          <w:rFonts w:eastAsia="Calibri"/>
          <w:sz w:val="18"/>
          <w:szCs w:val="18"/>
          <w:lang w:val="pl-PL"/>
        </w:rPr>
      </w:pPr>
      <w:r>
        <w:rPr>
          <w:rFonts w:eastAsia="Calibri"/>
          <w:noProof/>
          <w:sz w:val="18"/>
          <w:szCs w:val="18"/>
          <w:lang w:val="pl-PL" w:eastAsia="pl-PL"/>
        </w:rPr>
        <w:drawing>
          <wp:inline distT="0" distB="0" distL="0" distR="0" wp14:anchorId="01037053" wp14:editId="568E2F80">
            <wp:extent cx="5810250" cy="1755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0250" cy="1755775"/>
                    </a:xfrm>
                    <a:prstGeom prst="rect">
                      <a:avLst/>
                    </a:prstGeom>
                    <a:noFill/>
                  </pic:spPr>
                </pic:pic>
              </a:graphicData>
            </a:graphic>
          </wp:inline>
        </w:drawing>
      </w:r>
    </w:p>
    <w:p w14:paraId="0AE911F6" w14:textId="77777777" w:rsidR="00961DBA" w:rsidRDefault="00961DBA" w:rsidP="00961DBA">
      <w:pPr>
        <w:rPr>
          <w:rFonts w:eastAsia="Calibri"/>
          <w:sz w:val="18"/>
          <w:szCs w:val="18"/>
          <w:lang w:val="pl-PL"/>
        </w:rPr>
      </w:pPr>
      <w:r w:rsidRPr="00E24A43">
        <w:rPr>
          <w:rFonts w:eastAsia="Calibri"/>
          <w:sz w:val="18"/>
          <w:szCs w:val="18"/>
          <w:lang w:val="pl-PL"/>
        </w:rPr>
        <w:t>Źródło: Dane NFZ</w:t>
      </w:r>
    </w:p>
    <w:p w14:paraId="4F782726" w14:textId="2F7D60D2" w:rsidR="00903DB2" w:rsidRDefault="004D67EE" w:rsidP="00AA6477">
      <w:pPr>
        <w:rPr>
          <w:rFonts w:eastAsia="Calibri"/>
          <w:lang w:val="pl-PL"/>
        </w:rPr>
      </w:pPr>
      <w:r w:rsidRPr="00F760DC">
        <w:rPr>
          <w:rFonts w:eastAsia="Calibri"/>
          <w:lang w:val="pl-PL"/>
        </w:rPr>
        <w:t>W poniższej tabeli przedstawiono rozkład wydatków na poszczególne rodzaje w 2015 roku.</w:t>
      </w:r>
      <w:r w:rsidR="00903DB2">
        <w:rPr>
          <w:rFonts w:eastAsia="Calibri"/>
          <w:lang w:val="pl-PL"/>
        </w:rPr>
        <w:t xml:space="preserve"> Znakomita część wydatków dla tej grupy pacjentów jest wykorzystywana na świadczenia odrębnie kontraktowane, czyli dializoterapię, która stanowiła prawie 87% wydatków całkowitych.</w:t>
      </w:r>
    </w:p>
    <w:p w14:paraId="4E825451" w14:textId="77777777" w:rsidR="00903DB2" w:rsidRDefault="00903DB2" w:rsidP="00AA6477">
      <w:pPr>
        <w:rPr>
          <w:rFonts w:eastAsia="Calibri"/>
          <w:lang w:val="pl-PL"/>
        </w:rPr>
      </w:pPr>
    </w:p>
    <w:p w14:paraId="51717550" w14:textId="77777777" w:rsidR="00903DB2" w:rsidRDefault="00903DB2" w:rsidP="00AA6477">
      <w:pPr>
        <w:rPr>
          <w:rFonts w:eastAsia="Calibri"/>
          <w:lang w:val="pl-PL"/>
        </w:rPr>
      </w:pPr>
    </w:p>
    <w:p w14:paraId="5891FBB3" w14:textId="77777777" w:rsidR="00903DB2" w:rsidRPr="00F760DC" w:rsidRDefault="00903DB2" w:rsidP="00AA6477">
      <w:pPr>
        <w:rPr>
          <w:rFonts w:eastAsia="Calibri"/>
          <w:lang w:val="pl-PL"/>
        </w:rPr>
      </w:pPr>
    </w:p>
    <w:p w14:paraId="7DBA1D14" w14:textId="77777777" w:rsidR="00903DB2" w:rsidRDefault="00903DB2" w:rsidP="00F760DC">
      <w:pPr>
        <w:pStyle w:val="Legenda"/>
        <w:keepNext/>
        <w:rPr>
          <w:rFonts w:eastAsia="Calibri"/>
          <w:i w:val="0"/>
          <w:iCs w:val="0"/>
          <w:color w:val="auto"/>
          <w:sz w:val="22"/>
          <w:szCs w:val="20"/>
          <w:lang w:val="pl-PL"/>
        </w:rPr>
      </w:pPr>
    </w:p>
    <w:p w14:paraId="3A38EB46" w14:textId="3CC3701D" w:rsidR="00903DB2" w:rsidRPr="00F760DC" w:rsidRDefault="00903DB2" w:rsidP="00F760DC">
      <w:pPr>
        <w:pStyle w:val="Legenda"/>
        <w:keepNext/>
        <w:rPr>
          <w:b/>
          <w:i w:val="0"/>
          <w:color w:val="auto"/>
          <w:lang w:val="pl-PL"/>
        </w:rPr>
      </w:pPr>
      <w:bookmarkStart w:id="59" w:name="_Toc486537975"/>
      <w:r w:rsidRPr="00F760DC">
        <w:rPr>
          <w:b/>
          <w:i w:val="0"/>
          <w:color w:val="auto"/>
          <w:lang w:val="pl-PL"/>
        </w:rPr>
        <w:t xml:space="preserve">Tabela </w:t>
      </w:r>
      <w:r w:rsidRPr="00F760DC">
        <w:rPr>
          <w:b/>
          <w:i w:val="0"/>
          <w:color w:val="auto"/>
          <w:lang w:val="pl-PL"/>
        </w:rPr>
        <w:fldChar w:fldCharType="begin"/>
      </w:r>
      <w:r w:rsidRPr="00F760DC">
        <w:rPr>
          <w:b/>
          <w:i w:val="0"/>
          <w:color w:val="auto"/>
          <w:lang w:val="pl-PL"/>
        </w:rPr>
        <w:instrText xml:space="preserve"> SEQ Tabela \* ARABIC </w:instrText>
      </w:r>
      <w:r w:rsidRPr="00F760DC">
        <w:rPr>
          <w:b/>
          <w:i w:val="0"/>
          <w:color w:val="auto"/>
          <w:lang w:val="pl-PL"/>
        </w:rPr>
        <w:fldChar w:fldCharType="separate"/>
      </w:r>
      <w:r w:rsidR="005C7285">
        <w:rPr>
          <w:b/>
          <w:i w:val="0"/>
          <w:noProof/>
          <w:color w:val="auto"/>
          <w:lang w:val="pl-PL"/>
        </w:rPr>
        <w:t>12</w:t>
      </w:r>
      <w:r w:rsidRPr="00F760DC">
        <w:rPr>
          <w:b/>
          <w:i w:val="0"/>
          <w:color w:val="auto"/>
          <w:lang w:val="pl-PL"/>
        </w:rPr>
        <w:fldChar w:fldCharType="end"/>
      </w:r>
      <w:r w:rsidRPr="00F760DC">
        <w:rPr>
          <w:b/>
          <w:i w:val="0"/>
          <w:color w:val="auto"/>
          <w:lang w:val="pl-PL"/>
        </w:rPr>
        <w:t xml:space="preserve"> Wydatki NFZ na pacjentów z rozpoznaniem </w:t>
      </w:r>
      <w:proofErr w:type="spellStart"/>
      <w:r w:rsidRPr="00F760DC">
        <w:rPr>
          <w:b/>
          <w:i w:val="0"/>
          <w:color w:val="auto"/>
          <w:lang w:val="pl-PL"/>
        </w:rPr>
        <w:t>PChN</w:t>
      </w:r>
      <w:proofErr w:type="spellEnd"/>
      <w:r w:rsidRPr="00F760DC">
        <w:rPr>
          <w:b/>
          <w:i w:val="0"/>
          <w:color w:val="auto"/>
          <w:lang w:val="pl-PL"/>
        </w:rPr>
        <w:t xml:space="preserve"> (N18, N18.0, N18.8, N18.9, N19) w 2015 </w:t>
      </w:r>
      <w:r>
        <w:rPr>
          <w:b/>
          <w:i w:val="0"/>
          <w:color w:val="auto"/>
          <w:lang w:val="pl-PL"/>
        </w:rPr>
        <w:br/>
      </w:r>
      <w:r w:rsidRPr="00F760DC">
        <w:rPr>
          <w:b/>
          <w:i w:val="0"/>
          <w:color w:val="auto"/>
          <w:lang w:val="pl-PL"/>
        </w:rPr>
        <w:t>w podziale  na rodzaje świadczeń</w:t>
      </w:r>
      <w:bookmarkEnd w:id="59"/>
    </w:p>
    <w:p w14:paraId="1E010641" w14:textId="2DCD5B3A" w:rsidR="00212318" w:rsidRDefault="00212318" w:rsidP="00AA6477">
      <w:pPr>
        <w:rPr>
          <w:rFonts w:eastAsia="Calibri"/>
          <w:sz w:val="18"/>
          <w:szCs w:val="18"/>
          <w:lang w:val="pl-PL"/>
        </w:rPr>
      </w:pPr>
      <w:r>
        <w:rPr>
          <w:rFonts w:eastAsia="Calibri"/>
          <w:noProof/>
          <w:sz w:val="18"/>
          <w:szCs w:val="18"/>
          <w:lang w:val="pl-PL" w:eastAsia="pl-PL"/>
        </w:rPr>
        <w:drawing>
          <wp:inline distT="0" distB="0" distL="0" distR="0" wp14:anchorId="197E4767" wp14:editId="301842F4">
            <wp:extent cx="5810250" cy="26339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2633980"/>
                    </a:xfrm>
                    <a:prstGeom prst="rect">
                      <a:avLst/>
                    </a:prstGeom>
                    <a:noFill/>
                  </pic:spPr>
                </pic:pic>
              </a:graphicData>
            </a:graphic>
          </wp:inline>
        </w:drawing>
      </w:r>
    </w:p>
    <w:p w14:paraId="15D0877F" w14:textId="2BEFBDA0" w:rsidR="004D67EE" w:rsidRDefault="00961DBA" w:rsidP="00961DBA">
      <w:pPr>
        <w:rPr>
          <w:rFonts w:eastAsia="Calibri"/>
          <w:sz w:val="18"/>
          <w:szCs w:val="18"/>
          <w:lang w:val="pl-PL"/>
        </w:rPr>
      </w:pPr>
      <w:r w:rsidRPr="00E24A43">
        <w:rPr>
          <w:rFonts w:eastAsia="Calibri"/>
          <w:sz w:val="18"/>
          <w:szCs w:val="18"/>
          <w:lang w:val="pl-PL"/>
        </w:rPr>
        <w:t>Źródło: Dane NFZ</w:t>
      </w:r>
      <w:r w:rsidR="004D67EE">
        <w:rPr>
          <w:rFonts w:eastAsia="Calibri"/>
          <w:sz w:val="18"/>
          <w:szCs w:val="18"/>
          <w:lang w:val="pl-PL"/>
        </w:rPr>
        <w:t xml:space="preserve"> (AOS – Ambulatoryjna Opieka Specjalistyczna, SZP – Opieka szpitalna, POZ – Podstawowa opieka zdrowotna; REH – Rehabilitacja, SOK – Świadczenia Odrębnie Kontraktowane – dializoterapia)</w:t>
      </w:r>
    </w:p>
    <w:p w14:paraId="7D98D9BB" w14:textId="77777777" w:rsidR="00961DBA" w:rsidRPr="00F760DC" w:rsidRDefault="00961DBA" w:rsidP="00AA6477">
      <w:pPr>
        <w:rPr>
          <w:rFonts w:eastAsia="Calibri"/>
          <w:sz w:val="18"/>
          <w:szCs w:val="18"/>
          <w:lang w:val="pl-PL"/>
        </w:rPr>
      </w:pPr>
    </w:p>
    <w:p w14:paraId="7C2D9308" w14:textId="77777777" w:rsidR="00464933" w:rsidRPr="005E3D78" w:rsidRDefault="00464933" w:rsidP="00464933">
      <w:pPr>
        <w:pStyle w:val="EYHeading3"/>
        <w:rPr>
          <w:rFonts w:eastAsia="Calibri"/>
          <w:color w:val="000000" w:themeColor="text1"/>
          <w:lang w:val="pl-PL"/>
        </w:rPr>
      </w:pPr>
      <w:bookmarkStart w:id="60" w:name="_Toc486329853"/>
      <w:bookmarkStart w:id="61" w:name="_Toc486330306"/>
      <w:bookmarkStart w:id="62" w:name="_Toc479174863"/>
      <w:bookmarkStart w:id="63" w:name="_Toc479174971"/>
      <w:bookmarkStart w:id="64" w:name="_Toc479191120"/>
      <w:bookmarkStart w:id="65" w:name="_Toc479191533"/>
      <w:bookmarkStart w:id="66" w:name="_Toc486537910"/>
      <w:bookmarkEnd w:id="60"/>
      <w:bookmarkEnd w:id="61"/>
      <w:bookmarkEnd w:id="62"/>
      <w:bookmarkEnd w:id="63"/>
      <w:bookmarkEnd w:id="64"/>
      <w:bookmarkEnd w:id="65"/>
      <w:r w:rsidRPr="005E3D78">
        <w:rPr>
          <w:rFonts w:eastAsia="Calibri"/>
          <w:color w:val="000000" w:themeColor="text1"/>
          <w:lang w:val="pl-PL"/>
        </w:rPr>
        <w:t>Dane o pacjentach podlegających leczeniu nerkozastępczemu</w:t>
      </w:r>
      <w:bookmarkEnd w:id="66"/>
    </w:p>
    <w:p w14:paraId="7B6EA425" w14:textId="77777777" w:rsidR="00592038" w:rsidRPr="00592038" w:rsidRDefault="00D2312A" w:rsidP="00592038">
      <w:pPr>
        <w:rPr>
          <w:rFonts w:eastAsia="Calibri"/>
          <w:lang w:val="pl-PL"/>
        </w:rPr>
      </w:pPr>
      <w:r>
        <w:rPr>
          <w:rFonts w:eastAsia="Calibri"/>
          <w:lang w:val="pl-PL"/>
        </w:rPr>
        <w:t>W Polsce na milion mieszkańców ponad 130 osób rocznie rozpoczyna leczenie nerkozastępcze. W</w:t>
      </w:r>
      <w:r w:rsidR="00592038">
        <w:rPr>
          <w:rFonts w:eastAsia="Calibri"/>
          <w:lang w:val="pl-PL"/>
        </w:rPr>
        <w:t>śród pacjentów wymagających leczenia nerkozastępczego domi</w:t>
      </w:r>
      <w:r>
        <w:rPr>
          <w:rFonts w:eastAsia="Calibri"/>
          <w:lang w:val="pl-PL"/>
        </w:rPr>
        <w:t>nuje hemodializa, stanowiąca ok</w:t>
      </w:r>
      <w:r w:rsidRPr="00664C85">
        <w:rPr>
          <w:rFonts w:eastAsia="Calibri"/>
          <w:lang w:val="pl-PL"/>
        </w:rPr>
        <w:t>. 95%</w:t>
      </w:r>
      <w:r>
        <w:rPr>
          <w:rFonts w:eastAsia="Calibri"/>
          <w:lang w:val="pl-PL"/>
        </w:rPr>
        <w:t xml:space="preserve"> </w:t>
      </w:r>
      <w:r>
        <w:rPr>
          <w:rFonts w:eastAsia="Calibri"/>
          <w:lang w:val="pl-PL"/>
        </w:rPr>
        <w:lastRenderedPageBreak/>
        <w:t>leczenia dializami (201</w:t>
      </w:r>
      <w:r w:rsidR="0044313F">
        <w:rPr>
          <w:rFonts w:eastAsia="Calibri"/>
          <w:lang w:val="pl-PL"/>
        </w:rPr>
        <w:t>5</w:t>
      </w:r>
      <w:r>
        <w:rPr>
          <w:rFonts w:eastAsia="Calibri"/>
          <w:lang w:val="pl-PL"/>
        </w:rPr>
        <w:t xml:space="preserve"> r.). Profil polskiego chorego na </w:t>
      </w:r>
      <w:proofErr w:type="spellStart"/>
      <w:r>
        <w:rPr>
          <w:rFonts w:eastAsia="Calibri"/>
          <w:lang w:val="pl-PL"/>
        </w:rPr>
        <w:t>PChN</w:t>
      </w:r>
      <w:proofErr w:type="spellEnd"/>
      <w:r>
        <w:rPr>
          <w:rFonts w:eastAsia="Calibri"/>
          <w:lang w:val="pl-PL"/>
        </w:rPr>
        <w:t xml:space="preserve"> zmienia się w kierunku rosnącej liczby osób z nefropatią cukrzycową i nadciśnieniową (</w:t>
      </w:r>
      <w:r w:rsidRPr="00664C85">
        <w:rPr>
          <w:rFonts w:eastAsia="Calibri"/>
          <w:lang w:val="pl-PL"/>
        </w:rPr>
        <w:t>kolejno 23,7% oraz 18,1% włączonych do leczenia hemodializami 2013 r.) oraz osób starszych, tj. powyżej 65 roku życia (65,6%)</w:t>
      </w:r>
      <w:r w:rsidRPr="00664C85">
        <w:rPr>
          <w:rStyle w:val="Odwoanieprzypisudolnego"/>
          <w:rFonts w:eastAsia="Calibri"/>
          <w:sz w:val="22"/>
          <w:lang w:val="pl-PL"/>
        </w:rPr>
        <w:footnoteReference w:id="36"/>
      </w:r>
      <w:r w:rsidRPr="00664C85">
        <w:rPr>
          <w:rFonts w:eastAsia="Calibri"/>
          <w:lang w:val="pl-PL"/>
        </w:rPr>
        <w:t>.</w:t>
      </w:r>
      <w:r w:rsidR="00955539" w:rsidRPr="00664C85">
        <w:rPr>
          <w:rFonts w:eastAsia="Calibri"/>
          <w:lang w:val="pl-PL"/>
        </w:rPr>
        <w:t xml:space="preserve"> Dodatkowo, rośnie liczba chorych podlegających długookresowej hemodializoterapii przez kilkanaście lub nawet kilkadziesiąt lat.</w:t>
      </w:r>
    </w:p>
    <w:p w14:paraId="5E9C2496" w14:textId="5122597B" w:rsidR="00664C85" w:rsidRPr="00FA6C61" w:rsidRDefault="002C33E6" w:rsidP="005938D1">
      <w:pPr>
        <w:rPr>
          <w:rFonts w:eastAsia="Calibri"/>
          <w:lang w:val="pl-PL"/>
        </w:rPr>
      </w:pPr>
      <w:r>
        <w:rPr>
          <w:rFonts w:eastAsia="Calibri"/>
          <w:lang w:val="pl-PL"/>
        </w:rPr>
        <w:t xml:space="preserve">W zakresie transplantologii, roczna przeżywalność w Polsce chorych po przeszczepieniu nerki </w:t>
      </w:r>
      <w:r w:rsidRPr="00FA6C61">
        <w:rPr>
          <w:rFonts w:eastAsia="Calibri"/>
          <w:lang w:val="pl-PL"/>
        </w:rPr>
        <w:t>wynosi 95%, a przeszczepów – 90%, przy czym statystyki dla transplantacji zarówno wyprzedzających, jak i od żywego dawcy są bardziej optymistyczne od tych dla przeszczepień w okresie dializoterapii i od dawcy zmarłego</w:t>
      </w:r>
      <w:r w:rsidR="005938D1" w:rsidRPr="00FA6C61">
        <w:rPr>
          <w:rFonts w:eastAsia="Calibri"/>
          <w:lang w:val="pl-PL"/>
        </w:rPr>
        <w:t xml:space="preserve">. </w:t>
      </w:r>
      <w:r w:rsidR="00664C85" w:rsidRPr="00FA6C61">
        <w:rPr>
          <w:rFonts w:eastAsia="Calibri"/>
          <w:lang w:val="pl-PL"/>
        </w:rPr>
        <w:t>W</w:t>
      </w:r>
      <w:r w:rsidR="000535A1" w:rsidRPr="00FA6C61">
        <w:rPr>
          <w:rFonts w:eastAsia="Calibri"/>
          <w:lang w:val="pl-PL"/>
        </w:rPr>
        <w:t xml:space="preserve"> 2016</w:t>
      </w:r>
      <w:r w:rsidR="00664C85" w:rsidRPr="00FA6C61">
        <w:rPr>
          <w:rFonts w:eastAsia="Calibri"/>
          <w:lang w:val="pl-PL"/>
        </w:rPr>
        <w:t xml:space="preserve"> r</w:t>
      </w:r>
      <w:r w:rsidR="000C6761">
        <w:rPr>
          <w:rFonts w:eastAsia="Calibri"/>
          <w:lang w:val="pl-PL"/>
        </w:rPr>
        <w:t>.</w:t>
      </w:r>
      <w:r w:rsidR="00664C85" w:rsidRPr="00FA6C61">
        <w:rPr>
          <w:rFonts w:eastAsia="Calibri"/>
          <w:lang w:val="pl-PL"/>
        </w:rPr>
        <w:t xml:space="preserve"> na liście oczekujących na przeszcz</w:t>
      </w:r>
      <w:r w:rsidR="000535A1" w:rsidRPr="00FA6C61">
        <w:rPr>
          <w:rFonts w:eastAsia="Calibri"/>
          <w:lang w:val="pl-PL"/>
        </w:rPr>
        <w:t>epienie nerki znajdowało</w:t>
      </w:r>
      <w:r w:rsidR="00664C85" w:rsidRPr="00FA6C61">
        <w:rPr>
          <w:rFonts w:eastAsia="Calibri"/>
          <w:lang w:val="pl-PL"/>
        </w:rPr>
        <w:t xml:space="preserve"> się ok</w:t>
      </w:r>
      <w:r w:rsidR="000C6761">
        <w:rPr>
          <w:rFonts w:eastAsia="Calibri"/>
          <w:lang w:val="pl-PL"/>
        </w:rPr>
        <w:t>.</w:t>
      </w:r>
      <w:r w:rsidR="00664C85" w:rsidRPr="00FA6C61">
        <w:rPr>
          <w:rFonts w:eastAsia="Calibri"/>
          <w:lang w:val="pl-PL"/>
        </w:rPr>
        <w:t xml:space="preserve"> 1800 pacjentów, z czego 10</w:t>
      </w:r>
      <w:r w:rsidR="000535A1" w:rsidRPr="00FA6C61">
        <w:rPr>
          <w:rFonts w:eastAsia="Calibri"/>
          <w:lang w:val="pl-PL"/>
        </w:rPr>
        <w:t>49 to pacjenci aktywni (reszta to pacjenci czasowo zawieszeni lub zgłoszeni do kwalifikacji). W 2016 r</w:t>
      </w:r>
      <w:r w:rsidR="000C6761">
        <w:rPr>
          <w:rFonts w:eastAsia="Calibri"/>
          <w:lang w:val="pl-PL"/>
        </w:rPr>
        <w:t>.</w:t>
      </w:r>
      <w:r w:rsidR="000535A1" w:rsidRPr="00FA6C61">
        <w:rPr>
          <w:rFonts w:eastAsia="Calibri"/>
          <w:lang w:val="pl-PL"/>
        </w:rPr>
        <w:t xml:space="preserve"> wykonano 978 transplantacji nerek, z czego 50 narządów pochodziło od dawców żywych</w:t>
      </w:r>
      <w:r w:rsidR="000535A1" w:rsidRPr="00BE14BA">
        <w:rPr>
          <w:rStyle w:val="Odwoanieprzypisudolnego"/>
          <w:rFonts w:eastAsia="Calibri"/>
          <w:sz w:val="22"/>
          <w:lang w:val="pl-PL"/>
        </w:rPr>
        <w:footnoteReference w:id="37"/>
      </w:r>
      <w:r w:rsidR="000535A1" w:rsidRPr="00FA6C61">
        <w:rPr>
          <w:rFonts w:eastAsia="Calibri"/>
          <w:lang w:val="pl-PL"/>
        </w:rPr>
        <w:t>.</w:t>
      </w:r>
      <w:r w:rsidR="00535370" w:rsidRPr="00535370">
        <w:rPr>
          <w:rFonts w:eastAsia="Calibri"/>
          <w:lang w:val="pl-PL"/>
        </w:rPr>
        <w:t xml:space="preserve"> </w:t>
      </w:r>
      <w:r w:rsidR="00535370" w:rsidRPr="00FA6C61">
        <w:rPr>
          <w:rFonts w:eastAsia="Calibri"/>
          <w:lang w:val="pl-PL"/>
        </w:rPr>
        <w:t>Choroby układu krążenia, zakażenia i nowotwory są odpowiedzialne kolejno za 40%, 17% i 12% zgonów ludzi z przeszczepioną nerką</w:t>
      </w:r>
      <w:r w:rsidR="00535370" w:rsidRPr="00FA6C61">
        <w:rPr>
          <w:rStyle w:val="Odwoanieprzypisudolnego"/>
          <w:rFonts w:eastAsia="Calibri"/>
          <w:sz w:val="22"/>
          <w:lang w:val="pl-PL"/>
        </w:rPr>
        <w:footnoteReference w:id="38"/>
      </w:r>
      <w:r w:rsidR="00535370" w:rsidRPr="00FA6C61">
        <w:rPr>
          <w:rFonts w:eastAsia="Calibri"/>
          <w:lang w:val="pl-PL"/>
        </w:rPr>
        <w:t>.</w:t>
      </w:r>
    </w:p>
    <w:p w14:paraId="27348628" w14:textId="2E75967D" w:rsidR="00464933" w:rsidRDefault="00535370" w:rsidP="005938D1">
      <w:pPr>
        <w:rPr>
          <w:rFonts w:eastAsia="Calibri"/>
          <w:lang w:val="pl-PL"/>
        </w:rPr>
      </w:pPr>
      <w:r>
        <w:rPr>
          <w:rFonts w:eastAsia="Calibri"/>
          <w:lang w:val="pl-PL"/>
        </w:rPr>
        <w:t>Z danych k</w:t>
      </w:r>
      <w:r w:rsidRPr="00535370">
        <w:rPr>
          <w:rFonts w:eastAsia="Calibri"/>
          <w:lang w:val="pl-PL"/>
        </w:rPr>
        <w:t xml:space="preserve">onsultanta </w:t>
      </w:r>
      <w:r>
        <w:rPr>
          <w:rFonts w:eastAsia="Calibri"/>
          <w:lang w:val="pl-PL"/>
        </w:rPr>
        <w:t>k</w:t>
      </w:r>
      <w:r w:rsidRPr="00535370">
        <w:rPr>
          <w:rFonts w:eastAsia="Calibri"/>
          <w:lang w:val="pl-PL"/>
        </w:rPr>
        <w:t xml:space="preserve">rajowego w dziedzinie nefrologii wynika, że </w:t>
      </w:r>
      <w:r w:rsidR="00CE0760">
        <w:rPr>
          <w:rFonts w:eastAsia="Calibri"/>
          <w:lang w:val="pl-PL"/>
        </w:rPr>
        <w:t xml:space="preserve">w Polsce </w:t>
      </w:r>
      <w:r w:rsidR="00657C43">
        <w:rPr>
          <w:rFonts w:eastAsia="Calibri"/>
          <w:lang w:val="pl-PL"/>
        </w:rPr>
        <w:t xml:space="preserve">na przestrzeni ostatnich czterech lat widoczne są tendencje dotyczące spadku śmiertelności wśród pacjentów dializowanych. Mimo tego pozytywnego trendu, śmiertelność wśród dializowanych jest wysoka i </w:t>
      </w:r>
      <w:r w:rsidRPr="00535370">
        <w:rPr>
          <w:rFonts w:eastAsia="Calibri"/>
          <w:lang w:val="pl-PL"/>
        </w:rPr>
        <w:t>w 201</w:t>
      </w:r>
      <w:r>
        <w:rPr>
          <w:rFonts w:eastAsia="Calibri"/>
          <w:lang w:val="pl-PL"/>
        </w:rPr>
        <w:t xml:space="preserve">6 r. </w:t>
      </w:r>
      <w:r w:rsidR="00CE0760">
        <w:rPr>
          <w:rFonts w:eastAsia="Calibri"/>
          <w:lang w:val="pl-PL"/>
        </w:rPr>
        <w:t>wyniosła 17,7%</w:t>
      </w:r>
      <w:r>
        <w:rPr>
          <w:rFonts w:eastAsia="Calibri"/>
          <w:lang w:val="pl-PL"/>
        </w:rPr>
        <w:t xml:space="preserve">. </w:t>
      </w:r>
      <w:r w:rsidR="00CE0760">
        <w:rPr>
          <w:rFonts w:eastAsia="Calibri"/>
          <w:lang w:val="pl-PL"/>
        </w:rPr>
        <w:t xml:space="preserve">Główną przyczyną śmierci pacjentów z </w:t>
      </w:r>
      <w:proofErr w:type="spellStart"/>
      <w:r w:rsidR="00CE0760">
        <w:rPr>
          <w:rFonts w:eastAsia="Calibri"/>
          <w:lang w:val="pl-PL"/>
        </w:rPr>
        <w:t>PChN</w:t>
      </w:r>
      <w:proofErr w:type="spellEnd"/>
      <w:r w:rsidR="00CE0760">
        <w:rPr>
          <w:rFonts w:eastAsia="Calibri"/>
          <w:lang w:val="pl-PL"/>
        </w:rPr>
        <w:t xml:space="preserve"> są choroby sercowo-naczyniowe.</w:t>
      </w:r>
    </w:p>
    <w:p w14:paraId="250B6315" w14:textId="77777777" w:rsidR="005E3D78" w:rsidRDefault="000C6761" w:rsidP="005938D1">
      <w:pPr>
        <w:rPr>
          <w:rFonts w:eastAsia="Calibri"/>
          <w:lang w:val="pl-PL"/>
        </w:rPr>
      </w:pPr>
      <w:r>
        <w:rPr>
          <w:rFonts w:eastAsia="Calibri"/>
          <w:lang w:val="pl-PL"/>
        </w:rPr>
        <w:t xml:space="preserve">Pacjenci leczeni nerkozastępczo są często hospitalizowani. Badania </w:t>
      </w:r>
      <w:r w:rsidR="00ED5A26">
        <w:rPr>
          <w:rFonts w:eastAsia="Calibri"/>
          <w:lang w:val="pl-PL"/>
        </w:rPr>
        <w:t xml:space="preserve">z 2014 r. </w:t>
      </w:r>
      <w:r>
        <w:rPr>
          <w:rFonts w:eastAsia="Calibri"/>
          <w:lang w:val="pl-PL"/>
        </w:rPr>
        <w:t>na 159</w:t>
      </w:r>
      <w:r w:rsidR="00ED5A26">
        <w:rPr>
          <w:rFonts w:eastAsia="Calibri"/>
          <w:lang w:val="pl-PL"/>
        </w:rPr>
        <w:t> </w:t>
      </w:r>
      <w:r>
        <w:rPr>
          <w:rFonts w:eastAsia="Calibri"/>
          <w:lang w:val="pl-PL"/>
        </w:rPr>
        <w:t>pacjentach</w:t>
      </w:r>
      <w:r w:rsidR="00ED5A26">
        <w:rPr>
          <w:rFonts w:eastAsia="Calibri"/>
          <w:lang w:val="pl-PL"/>
        </w:rPr>
        <w:t xml:space="preserve"> leczonych nerkozastępczo wykazały, że w przeciągu ostatnich 6 miesięcy prawie połowa pacjentów była hospitalizowana, z czego hospitalizowano 62% pacjentów hemodializowanych, 43% dializowanych otrzewnowo oraz 32,5% po przeszczepieniu nerki. Wśród osób dializowanych, 18% osób było hospitalizowanych dłużej niż 2 tygodnie, a 26% 7 dni. Wśród dializowanych otrzewnowo 17% przebywało w szpitalu od 2 tygodni do 1 miesiąca i aż 4% osób powyżej miesiąca. 15% pacjentów po przeszczepieniu nerki było w szpitalu od 2 tygodni do 1 miesiąca</w:t>
      </w:r>
      <w:r w:rsidR="00ED5A26" w:rsidRPr="00F55719">
        <w:rPr>
          <w:rStyle w:val="Odwoanieprzypisudolnego"/>
          <w:rFonts w:eastAsia="Calibri"/>
          <w:sz w:val="22"/>
          <w:lang w:val="pl-PL"/>
        </w:rPr>
        <w:footnoteReference w:id="39"/>
      </w:r>
      <w:r w:rsidR="00ED5A26">
        <w:rPr>
          <w:rFonts w:eastAsia="Calibri"/>
          <w:lang w:val="pl-PL"/>
        </w:rPr>
        <w:t xml:space="preserve">. </w:t>
      </w:r>
    </w:p>
    <w:p w14:paraId="40E4D919" w14:textId="77777777" w:rsidR="00C27272" w:rsidRPr="00970FC6" w:rsidRDefault="00C27272" w:rsidP="00C27272">
      <w:pPr>
        <w:pStyle w:val="EYHeading3"/>
        <w:rPr>
          <w:rFonts w:eastAsia="Calibri"/>
          <w:color w:val="000000" w:themeColor="text1"/>
          <w:lang w:val="pl-PL"/>
        </w:rPr>
      </w:pPr>
      <w:bookmarkStart w:id="67" w:name="_Toc486537911"/>
      <w:r w:rsidRPr="00970FC6">
        <w:rPr>
          <w:rFonts w:eastAsia="Calibri"/>
          <w:color w:val="000000" w:themeColor="text1"/>
          <w:lang w:val="pl-PL"/>
        </w:rPr>
        <w:t>Czynniki ryzyka wystąpienia przewlekłej choroby nerek</w:t>
      </w:r>
      <w:bookmarkEnd w:id="67"/>
    </w:p>
    <w:p w14:paraId="26695DF7" w14:textId="3CE8C64D" w:rsidR="00C405BD" w:rsidRPr="00C405BD" w:rsidRDefault="0011447E" w:rsidP="00C405BD">
      <w:pPr>
        <w:rPr>
          <w:rFonts w:eastAsia="Calibri"/>
          <w:lang w:val="pl-PL"/>
        </w:rPr>
      </w:pPr>
      <w:r>
        <w:rPr>
          <w:rFonts w:eastAsia="Calibri"/>
          <w:lang w:val="pl-PL"/>
        </w:rPr>
        <w:t xml:space="preserve">Chorobowość i zapadalność na </w:t>
      </w:r>
      <w:proofErr w:type="spellStart"/>
      <w:r>
        <w:rPr>
          <w:rFonts w:eastAsia="Calibri"/>
          <w:lang w:val="pl-PL"/>
        </w:rPr>
        <w:t>PChN</w:t>
      </w:r>
      <w:proofErr w:type="spellEnd"/>
      <w:r>
        <w:rPr>
          <w:rFonts w:eastAsia="Calibri"/>
          <w:lang w:val="pl-PL"/>
        </w:rPr>
        <w:t xml:space="preserve"> ma bezpośredni związek z </w:t>
      </w:r>
      <w:r w:rsidR="00AD1B97">
        <w:rPr>
          <w:rFonts w:eastAsia="Calibri"/>
          <w:lang w:val="pl-PL"/>
        </w:rPr>
        <w:t>występowaniem</w:t>
      </w:r>
      <w:r>
        <w:rPr>
          <w:rFonts w:eastAsia="Calibri"/>
          <w:lang w:val="pl-PL"/>
        </w:rPr>
        <w:t xml:space="preserve"> </w:t>
      </w:r>
      <w:r w:rsidR="007109B0">
        <w:rPr>
          <w:rFonts w:eastAsia="Calibri"/>
          <w:lang w:val="pl-PL"/>
        </w:rPr>
        <w:t xml:space="preserve">w populacji </w:t>
      </w:r>
      <w:r>
        <w:rPr>
          <w:rFonts w:eastAsia="Calibri"/>
          <w:lang w:val="pl-PL"/>
        </w:rPr>
        <w:t xml:space="preserve">czynników ryzyka tej choroby oraz pośredni z czynnikami ryzyka chorób będącymi przyczyną </w:t>
      </w:r>
      <w:proofErr w:type="spellStart"/>
      <w:r>
        <w:rPr>
          <w:rFonts w:eastAsia="Calibri"/>
          <w:lang w:val="pl-PL"/>
        </w:rPr>
        <w:t>PChN</w:t>
      </w:r>
      <w:proofErr w:type="spellEnd"/>
      <w:r>
        <w:rPr>
          <w:rFonts w:eastAsia="Calibri"/>
          <w:lang w:val="pl-PL"/>
        </w:rPr>
        <w:t>.</w:t>
      </w:r>
      <w:r w:rsidR="00547EBC">
        <w:rPr>
          <w:rFonts w:eastAsia="Calibri"/>
          <w:lang w:val="pl-PL"/>
        </w:rPr>
        <w:t xml:space="preserve"> W tabeli </w:t>
      </w:r>
      <w:r w:rsidR="001E35A3">
        <w:rPr>
          <w:rFonts w:eastAsia="Calibri"/>
          <w:lang w:val="pl-PL"/>
        </w:rPr>
        <w:t>1</w:t>
      </w:r>
      <w:r w:rsidR="004728B7">
        <w:rPr>
          <w:rFonts w:eastAsia="Calibri"/>
          <w:lang w:val="pl-PL"/>
        </w:rPr>
        <w:t>3</w:t>
      </w:r>
      <w:r w:rsidR="00547EBC">
        <w:rPr>
          <w:rFonts w:eastAsia="Calibri"/>
          <w:lang w:val="pl-PL"/>
        </w:rPr>
        <w:t xml:space="preserve"> przedstawiono czynniki ryzyka wystąpienia </w:t>
      </w:r>
      <w:proofErr w:type="spellStart"/>
      <w:r w:rsidR="00547EBC">
        <w:rPr>
          <w:rFonts w:eastAsia="Calibri"/>
          <w:lang w:val="pl-PL"/>
        </w:rPr>
        <w:t>PChN</w:t>
      </w:r>
      <w:proofErr w:type="spellEnd"/>
      <w:r w:rsidR="00547EBC">
        <w:rPr>
          <w:rFonts w:eastAsia="Calibri"/>
          <w:lang w:val="pl-PL"/>
        </w:rPr>
        <w:t xml:space="preserve"> w podziale na modyfikowalne i niemodyfikowalne.</w:t>
      </w:r>
    </w:p>
    <w:p w14:paraId="334683F4" w14:textId="490C569B" w:rsidR="007254A8" w:rsidRPr="007254A8" w:rsidRDefault="007254A8" w:rsidP="007254A8">
      <w:pPr>
        <w:pStyle w:val="Legenda"/>
        <w:keepNext/>
        <w:rPr>
          <w:b/>
          <w:i w:val="0"/>
          <w:color w:val="auto"/>
          <w:lang w:val="pl-PL"/>
        </w:rPr>
      </w:pPr>
      <w:bookmarkStart w:id="68" w:name="_Toc486537976"/>
      <w:r w:rsidRPr="007254A8">
        <w:rPr>
          <w:b/>
          <w:i w:val="0"/>
          <w:color w:val="auto"/>
          <w:lang w:val="pl-PL"/>
        </w:rPr>
        <w:t xml:space="preserve">Tabela </w:t>
      </w:r>
      <w:r w:rsidRPr="007254A8">
        <w:rPr>
          <w:b/>
          <w:i w:val="0"/>
          <w:color w:val="auto"/>
          <w:lang w:val="pl-PL"/>
        </w:rPr>
        <w:fldChar w:fldCharType="begin"/>
      </w:r>
      <w:r w:rsidRPr="007254A8">
        <w:rPr>
          <w:b/>
          <w:i w:val="0"/>
          <w:color w:val="auto"/>
          <w:lang w:val="pl-PL"/>
        </w:rPr>
        <w:instrText xml:space="preserve"> SEQ Tabela \* ARABIC </w:instrText>
      </w:r>
      <w:r w:rsidRPr="007254A8">
        <w:rPr>
          <w:b/>
          <w:i w:val="0"/>
          <w:color w:val="auto"/>
          <w:lang w:val="pl-PL"/>
        </w:rPr>
        <w:fldChar w:fldCharType="separate"/>
      </w:r>
      <w:r w:rsidR="005C7285">
        <w:rPr>
          <w:b/>
          <w:i w:val="0"/>
          <w:noProof/>
          <w:color w:val="auto"/>
          <w:lang w:val="pl-PL"/>
        </w:rPr>
        <w:t>13</w:t>
      </w:r>
      <w:r w:rsidRPr="007254A8">
        <w:rPr>
          <w:b/>
          <w:i w:val="0"/>
          <w:color w:val="auto"/>
          <w:lang w:val="pl-PL"/>
        </w:rPr>
        <w:fldChar w:fldCharType="end"/>
      </w:r>
      <w:r w:rsidRPr="007254A8">
        <w:rPr>
          <w:b/>
          <w:i w:val="0"/>
          <w:color w:val="auto"/>
          <w:lang w:val="pl-PL"/>
        </w:rPr>
        <w:t xml:space="preserve"> Czynniki ryzyka </w:t>
      </w:r>
      <w:proofErr w:type="spellStart"/>
      <w:r w:rsidRPr="007254A8">
        <w:rPr>
          <w:b/>
          <w:i w:val="0"/>
          <w:color w:val="auto"/>
          <w:lang w:val="pl-PL"/>
        </w:rPr>
        <w:t>PCh</w:t>
      </w:r>
      <w:r w:rsidR="00F55719">
        <w:rPr>
          <w:b/>
          <w:i w:val="0"/>
          <w:color w:val="auto"/>
          <w:lang w:val="pl-PL"/>
        </w:rPr>
        <w:t>N</w:t>
      </w:r>
      <w:bookmarkEnd w:id="68"/>
      <w:proofErr w:type="spellEnd"/>
    </w:p>
    <w:tbl>
      <w:tblPr>
        <w:tblStyle w:val="Tabela-Siatka"/>
        <w:tblW w:w="9072"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4536"/>
      </w:tblGrid>
      <w:tr w:rsidR="00C405BD" w:rsidRPr="00547EBC" w14:paraId="5F220605" w14:textId="77777777" w:rsidTr="00C405BD">
        <w:tc>
          <w:tcPr>
            <w:tcW w:w="9072" w:type="dxa"/>
            <w:gridSpan w:val="2"/>
            <w:shd w:val="clear" w:color="auto" w:fill="FFE600"/>
            <w:vAlign w:val="center"/>
          </w:tcPr>
          <w:p w14:paraId="3340FC76" w14:textId="77777777" w:rsidR="00C405BD" w:rsidRPr="0002448D" w:rsidRDefault="00C405BD" w:rsidP="00EA3DA5">
            <w:pPr>
              <w:spacing w:before="60" w:after="60" w:line="240" w:lineRule="auto"/>
              <w:jc w:val="left"/>
              <w:rPr>
                <w:rFonts w:eastAsia="Calibri"/>
                <w:b/>
                <w:sz w:val="18"/>
                <w:szCs w:val="18"/>
                <w:lang w:val="pl-PL"/>
              </w:rPr>
            </w:pPr>
            <w:r w:rsidRPr="00EA3DA5">
              <w:rPr>
                <w:rFonts w:eastAsia="Calibri"/>
                <w:b/>
                <w:sz w:val="18"/>
                <w:szCs w:val="18"/>
                <w:lang w:val="pl-PL"/>
              </w:rPr>
              <w:t xml:space="preserve">Czynniki ryzyka </w:t>
            </w:r>
            <w:proofErr w:type="spellStart"/>
            <w:r w:rsidRPr="00EA3DA5">
              <w:rPr>
                <w:rFonts w:eastAsia="Calibri"/>
                <w:b/>
                <w:sz w:val="18"/>
                <w:szCs w:val="18"/>
                <w:lang w:val="pl-PL"/>
              </w:rPr>
              <w:t>PChN</w:t>
            </w:r>
            <w:proofErr w:type="spellEnd"/>
          </w:p>
        </w:tc>
      </w:tr>
      <w:tr w:rsidR="00C405BD" w:rsidRPr="00547EBC" w14:paraId="58C6A364" w14:textId="77777777" w:rsidTr="00C405BD">
        <w:tc>
          <w:tcPr>
            <w:tcW w:w="4536" w:type="dxa"/>
            <w:shd w:val="clear" w:color="auto" w:fill="F2F2F2" w:themeFill="background1" w:themeFillShade="F2"/>
            <w:vAlign w:val="center"/>
          </w:tcPr>
          <w:p w14:paraId="374DCEC6" w14:textId="77777777" w:rsidR="00C405BD" w:rsidRPr="00602625" w:rsidRDefault="00C405BD" w:rsidP="008C32D8">
            <w:pPr>
              <w:spacing w:before="60" w:after="60" w:line="240" w:lineRule="auto"/>
              <w:jc w:val="center"/>
              <w:rPr>
                <w:rFonts w:eastAsia="Calibri"/>
                <w:b/>
                <w:sz w:val="18"/>
                <w:szCs w:val="18"/>
                <w:lang w:val="pl-PL"/>
              </w:rPr>
            </w:pPr>
            <w:r w:rsidRPr="00602625">
              <w:rPr>
                <w:rFonts w:eastAsia="Calibri"/>
                <w:b/>
                <w:sz w:val="18"/>
                <w:szCs w:val="18"/>
                <w:lang w:val="pl-PL"/>
              </w:rPr>
              <w:t>Modyfikowalne</w:t>
            </w:r>
          </w:p>
        </w:tc>
        <w:tc>
          <w:tcPr>
            <w:tcW w:w="4536" w:type="dxa"/>
            <w:shd w:val="clear" w:color="auto" w:fill="F2F2F2" w:themeFill="background1" w:themeFillShade="F2"/>
            <w:vAlign w:val="center"/>
          </w:tcPr>
          <w:p w14:paraId="3F025D6B" w14:textId="77777777" w:rsidR="00C405BD" w:rsidRPr="00602625" w:rsidRDefault="00C405BD" w:rsidP="008C32D8">
            <w:pPr>
              <w:pStyle w:val="EYBulletedList1"/>
              <w:numPr>
                <w:ilvl w:val="0"/>
                <w:numId w:val="0"/>
              </w:numPr>
              <w:spacing w:beforeLines="20" w:before="48" w:afterLines="20" w:after="48"/>
              <w:ind w:left="288" w:hanging="288"/>
              <w:jc w:val="center"/>
              <w:rPr>
                <w:b/>
                <w:sz w:val="18"/>
                <w:szCs w:val="18"/>
                <w:lang w:val="pl-PL"/>
              </w:rPr>
            </w:pPr>
            <w:r w:rsidRPr="00602625">
              <w:rPr>
                <w:b/>
                <w:sz w:val="18"/>
                <w:szCs w:val="18"/>
                <w:lang w:val="pl-PL"/>
              </w:rPr>
              <w:t>Niemodyfikowalne</w:t>
            </w:r>
          </w:p>
        </w:tc>
      </w:tr>
      <w:tr w:rsidR="00C405BD" w:rsidRPr="0002448D" w14:paraId="3E9DEC5E" w14:textId="77777777" w:rsidTr="00C405BD">
        <w:tc>
          <w:tcPr>
            <w:tcW w:w="4536" w:type="dxa"/>
            <w:shd w:val="clear" w:color="auto" w:fill="auto"/>
          </w:tcPr>
          <w:p w14:paraId="57772525"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lastRenderedPageBreak/>
              <w:t>Cukrzyca, otyłość</w:t>
            </w:r>
          </w:p>
          <w:p w14:paraId="10D8D2E9"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Nadciśnienie tętnicze, niewydolność serca</w:t>
            </w:r>
          </w:p>
          <w:p w14:paraId="691FFFA5" w14:textId="77777777" w:rsidR="00C405BD" w:rsidRPr="00665C68" w:rsidRDefault="00C405BD" w:rsidP="00F84B72">
            <w:pPr>
              <w:pStyle w:val="EYBulletedList1"/>
              <w:numPr>
                <w:ilvl w:val="0"/>
                <w:numId w:val="11"/>
              </w:numPr>
              <w:spacing w:beforeLines="20" w:before="48" w:afterLines="20" w:after="48"/>
              <w:rPr>
                <w:sz w:val="18"/>
                <w:szCs w:val="18"/>
                <w:lang w:val="pl-PL"/>
              </w:rPr>
            </w:pPr>
            <w:r>
              <w:rPr>
                <w:sz w:val="18"/>
                <w:szCs w:val="18"/>
                <w:lang w:val="pl-PL"/>
              </w:rPr>
              <w:t>Zaawansowana miażdżyca</w:t>
            </w:r>
          </w:p>
          <w:p w14:paraId="0B9F5654" w14:textId="77777777" w:rsidR="00C405BD" w:rsidRDefault="00C405BD" w:rsidP="00F84B72">
            <w:pPr>
              <w:pStyle w:val="EYBulletedList1"/>
              <w:numPr>
                <w:ilvl w:val="0"/>
                <w:numId w:val="11"/>
              </w:numPr>
              <w:spacing w:beforeLines="20" w:before="48" w:afterLines="20" w:after="48"/>
              <w:rPr>
                <w:sz w:val="18"/>
                <w:szCs w:val="18"/>
                <w:lang w:val="pl-PL"/>
              </w:rPr>
            </w:pPr>
            <w:r>
              <w:rPr>
                <w:sz w:val="18"/>
                <w:szCs w:val="18"/>
                <w:lang w:val="pl-PL"/>
              </w:rPr>
              <w:t xml:space="preserve">Choroby autoimmunologiczne, w tym pierwotne </w:t>
            </w:r>
            <w:r w:rsidR="00AD1B97">
              <w:rPr>
                <w:sz w:val="18"/>
                <w:szCs w:val="18"/>
                <w:lang w:val="pl-PL"/>
              </w:rPr>
              <w:br/>
            </w:r>
            <w:r>
              <w:rPr>
                <w:sz w:val="18"/>
                <w:szCs w:val="18"/>
                <w:lang w:val="pl-PL"/>
              </w:rPr>
              <w:t xml:space="preserve">i wtórne choroby kłębuszków nerkowych </w:t>
            </w:r>
          </w:p>
          <w:p w14:paraId="7ABF91E1"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Cewkowo-śródmiąższowe choroby nerek</w:t>
            </w:r>
          </w:p>
          <w:p w14:paraId="224C5BE0"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Ostre uszkodzenie nerek (AKI)</w:t>
            </w:r>
          </w:p>
          <w:p w14:paraId="666D7305"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Palenie tytoniu</w:t>
            </w:r>
          </w:p>
          <w:p w14:paraId="0FE26E12" w14:textId="77777777" w:rsidR="00C405BD" w:rsidRPr="00A67908" w:rsidRDefault="00C405BD" w:rsidP="00F84B72">
            <w:pPr>
              <w:pStyle w:val="EYBulletedList1"/>
              <w:numPr>
                <w:ilvl w:val="0"/>
                <w:numId w:val="11"/>
              </w:numPr>
              <w:spacing w:beforeLines="20" w:before="48" w:afterLines="20" w:after="48"/>
              <w:rPr>
                <w:rFonts w:eastAsia="Calibri"/>
                <w:sz w:val="18"/>
                <w:szCs w:val="18"/>
                <w:lang w:val="pl-PL"/>
              </w:rPr>
            </w:pPr>
            <w:r w:rsidRPr="00AF1589">
              <w:rPr>
                <w:sz w:val="18"/>
                <w:szCs w:val="18"/>
                <w:lang w:val="pl-PL"/>
              </w:rPr>
              <w:t>Spożywanie alkoholu i innych używek</w:t>
            </w:r>
          </w:p>
          <w:p w14:paraId="7CA5678D" w14:textId="77777777" w:rsidR="00C405BD" w:rsidRPr="00DC2635" w:rsidRDefault="00C405BD" w:rsidP="00F84B72">
            <w:pPr>
              <w:pStyle w:val="EYBulletedList1"/>
              <w:numPr>
                <w:ilvl w:val="0"/>
                <w:numId w:val="11"/>
              </w:numPr>
              <w:spacing w:beforeLines="20" w:before="48" w:afterLines="20" w:after="48"/>
              <w:rPr>
                <w:rFonts w:eastAsia="Calibri"/>
                <w:sz w:val="18"/>
                <w:szCs w:val="18"/>
                <w:lang w:val="pl-PL"/>
              </w:rPr>
            </w:pPr>
            <w:r>
              <w:rPr>
                <w:sz w:val="18"/>
                <w:szCs w:val="18"/>
                <w:lang w:val="pl-PL"/>
              </w:rPr>
              <w:t>Ekspozycja na metale ciężkie</w:t>
            </w:r>
            <w:r w:rsidR="00547EBC">
              <w:rPr>
                <w:sz w:val="18"/>
                <w:szCs w:val="18"/>
                <w:lang w:val="pl-PL"/>
              </w:rPr>
              <w:t>,</w:t>
            </w:r>
            <w:r>
              <w:rPr>
                <w:sz w:val="18"/>
                <w:szCs w:val="18"/>
                <w:lang w:val="pl-PL"/>
              </w:rPr>
              <w:t xml:space="preserve"> związki </w:t>
            </w:r>
            <w:proofErr w:type="spellStart"/>
            <w:r>
              <w:rPr>
                <w:sz w:val="18"/>
                <w:szCs w:val="18"/>
                <w:lang w:val="pl-PL"/>
              </w:rPr>
              <w:t>nefrotoksyczne</w:t>
            </w:r>
            <w:proofErr w:type="spellEnd"/>
          </w:p>
        </w:tc>
        <w:tc>
          <w:tcPr>
            <w:tcW w:w="4536" w:type="dxa"/>
            <w:shd w:val="clear" w:color="auto" w:fill="auto"/>
          </w:tcPr>
          <w:p w14:paraId="70828335"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 xml:space="preserve">Płeć </w:t>
            </w:r>
          </w:p>
          <w:p w14:paraId="59F0732D"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Wiek</w:t>
            </w:r>
          </w:p>
          <w:p w14:paraId="787F66FA"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Uwarunkowania genetyczne</w:t>
            </w:r>
          </w:p>
          <w:p w14:paraId="4A9E78A9" w14:textId="77777777" w:rsidR="00C405BD" w:rsidRPr="00AF1589"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Obciąż</w:t>
            </w:r>
            <w:r>
              <w:rPr>
                <w:sz w:val="18"/>
                <w:szCs w:val="18"/>
                <w:lang w:val="pl-PL"/>
              </w:rPr>
              <w:t>enie</w:t>
            </w:r>
            <w:r w:rsidRPr="00AF1589">
              <w:rPr>
                <w:sz w:val="18"/>
                <w:szCs w:val="18"/>
                <w:lang w:val="pl-PL"/>
              </w:rPr>
              <w:t xml:space="preserve"> historią chorób nerek </w:t>
            </w:r>
            <w:r>
              <w:rPr>
                <w:sz w:val="18"/>
                <w:szCs w:val="18"/>
                <w:lang w:val="pl-PL"/>
              </w:rPr>
              <w:t xml:space="preserve">w </w:t>
            </w:r>
            <w:r w:rsidRPr="00AF1589">
              <w:rPr>
                <w:sz w:val="18"/>
                <w:szCs w:val="18"/>
                <w:lang w:val="pl-PL"/>
              </w:rPr>
              <w:t>wywiad</w:t>
            </w:r>
            <w:r>
              <w:rPr>
                <w:sz w:val="18"/>
                <w:szCs w:val="18"/>
                <w:lang w:val="pl-PL"/>
              </w:rPr>
              <w:t>zie</w:t>
            </w:r>
            <w:r w:rsidRPr="00AF1589">
              <w:rPr>
                <w:sz w:val="18"/>
                <w:szCs w:val="18"/>
                <w:lang w:val="pl-PL"/>
              </w:rPr>
              <w:t xml:space="preserve"> rodzinny</w:t>
            </w:r>
            <w:r>
              <w:rPr>
                <w:sz w:val="18"/>
                <w:szCs w:val="18"/>
                <w:lang w:val="pl-PL"/>
              </w:rPr>
              <w:t>m</w:t>
            </w:r>
          </w:p>
          <w:p w14:paraId="3C87BE57" w14:textId="77777777" w:rsidR="00C405BD" w:rsidRPr="00DC2635" w:rsidRDefault="00C405BD" w:rsidP="00F84B72">
            <w:pPr>
              <w:pStyle w:val="EYBulletedList1"/>
              <w:numPr>
                <w:ilvl w:val="0"/>
                <w:numId w:val="11"/>
              </w:numPr>
              <w:spacing w:beforeLines="20" w:before="48" w:afterLines="20" w:after="48"/>
              <w:rPr>
                <w:sz w:val="18"/>
                <w:szCs w:val="18"/>
                <w:lang w:val="pl-PL"/>
              </w:rPr>
            </w:pPr>
            <w:r w:rsidRPr="00AF1589">
              <w:rPr>
                <w:sz w:val="18"/>
                <w:szCs w:val="18"/>
                <w:lang w:val="pl-PL"/>
              </w:rPr>
              <w:t>Status socjoekonomiczny</w:t>
            </w:r>
          </w:p>
        </w:tc>
      </w:tr>
    </w:tbl>
    <w:p w14:paraId="4B81A70B" w14:textId="77777777" w:rsidR="00C27272" w:rsidRPr="00087034" w:rsidRDefault="00C27272" w:rsidP="00C27272">
      <w:pPr>
        <w:rPr>
          <w:rFonts w:eastAsia="Calibri"/>
          <w:sz w:val="18"/>
          <w:szCs w:val="18"/>
          <w:lang w:val="pl-PL"/>
        </w:rPr>
      </w:pPr>
      <w:r w:rsidRPr="00A4451C">
        <w:rPr>
          <w:rFonts w:eastAsia="Calibri"/>
          <w:sz w:val="18"/>
          <w:szCs w:val="18"/>
          <w:lang w:val="pl-PL"/>
        </w:rPr>
        <w:t xml:space="preserve">Źródło: </w:t>
      </w:r>
      <w:r w:rsidR="000D0816" w:rsidRPr="000D0816">
        <w:rPr>
          <w:rFonts w:eastAsia="Calibri"/>
          <w:sz w:val="18"/>
          <w:szCs w:val="18"/>
          <w:lang w:val="pl-PL"/>
        </w:rPr>
        <w:t>Na podstawie wywiadów z ekspertami i literatury fachowej</w:t>
      </w:r>
      <w:r w:rsidR="000D0816">
        <w:rPr>
          <w:rFonts w:eastAsia="Calibri"/>
          <w:sz w:val="18"/>
          <w:szCs w:val="18"/>
          <w:lang w:val="pl-PL"/>
        </w:rPr>
        <w:t>: 1</w:t>
      </w:r>
      <w:r w:rsidRPr="00A4451C">
        <w:rPr>
          <w:rFonts w:eastAsia="Calibri"/>
          <w:sz w:val="18"/>
          <w:szCs w:val="18"/>
          <w:lang w:val="pl-PL"/>
        </w:rPr>
        <w:t xml:space="preserve">. </w:t>
      </w:r>
      <w:proofErr w:type="spellStart"/>
      <w:r w:rsidRPr="00593ED6">
        <w:rPr>
          <w:rFonts w:eastAsia="Calibri"/>
          <w:sz w:val="18"/>
          <w:szCs w:val="18"/>
        </w:rPr>
        <w:t>Kazancioglu</w:t>
      </w:r>
      <w:proofErr w:type="spellEnd"/>
      <w:r w:rsidRPr="00593ED6">
        <w:rPr>
          <w:rFonts w:eastAsia="Calibri"/>
          <w:sz w:val="18"/>
          <w:szCs w:val="18"/>
        </w:rPr>
        <w:t xml:space="preserve"> R., Risk factors for chronic kidney disease: an update, </w:t>
      </w:r>
      <w:r>
        <w:rPr>
          <w:rFonts w:eastAsia="Calibri"/>
          <w:sz w:val="18"/>
          <w:szCs w:val="18"/>
        </w:rPr>
        <w:t>Kidney International Supplements (2013) 3,</w:t>
      </w:r>
      <w:r w:rsidRPr="00593ED6">
        <w:rPr>
          <w:rFonts w:eastAsia="Calibri"/>
          <w:sz w:val="18"/>
          <w:szCs w:val="18"/>
        </w:rPr>
        <w:t xml:space="preserve"> </w:t>
      </w:r>
      <w:r>
        <w:rPr>
          <w:rFonts w:eastAsia="Calibri"/>
          <w:sz w:val="18"/>
          <w:szCs w:val="18"/>
        </w:rPr>
        <w:t>368-371</w:t>
      </w:r>
      <w:r w:rsidRPr="00593ED6">
        <w:rPr>
          <w:rFonts w:eastAsia="Calibri"/>
          <w:sz w:val="18"/>
          <w:szCs w:val="18"/>
        </w:rPr>
        <w:t>;</w:t>
      </w:r>
      <w:r>
        <w:rPr>
          <w:rFonts w:eastAsia="Calibri"/>
          <w:sz w:val="18"/>
          <w:szCs w:val="18"/>
        </w:rPr>
        <w:t xml:space="preserve"> 2. Haroun M.K. et al., </w:t>
      </w:r>
      <w:r w:rsidRPr="00A67908">
        <w:rPr>
          <w:rFonts w:eastAsia="Calibri"/>
          <w:sz w:val="18"/>
          <w:szCs w:val="18"/>
        </w:rPr>
        <w:t>Risk Factors for Chronic Kidney Disease: A Prospective</w:t>
      </w:r>
      <w:r>
        <w:rPr>
          <w:rFonts w:eastAsia="Calibri"/>
          <w:sz w:val="18"/>
          <w:szCs w:val="18"/>
        </w:rPr>
        <w:t xml:space="preserve"> </w:t>
      </w:r>
      <w:r w:rsidRPr="00A67908">
        <w:rPr>
          <w:rFonts w:eastAsia="Calibri"/>
          <w:sz w:val="18"/>
          <w:szCs w:val="18"/>
        </w:rPr>
        <w:t>Study of 23,534 Men and Women in Washington County,</w:t>
      </w:r>
      <w:r>
        <w:rPr>
          <w:rFonts w:eastAsia="Calibri"/>
          <w:sz w:val="18"/>
          <w:szCs w:val="18"/>
        </w:rPr>
        <w:t xml:space="preserve"> </w:t>
      </w:r>
      <w:r w:rsidRPr="00A67908">
        <w:rPr>
          <w:rFonts w:eastAsia="Calibri"/>
          <w:sz w:val="18"/>
          <w:szCs w:val="18"/>
        </w:rPr>
        <w:t>Maryland</w:t>
      </w:r>
      <w:r>
        <w:rPr>
          <w:rFonts w:eastAsia="Calibri"/>
          <w:sz w:val="18"/>
          <w:szCs w:val="18"/>
        </w:rPr>
        <w:t>,</w:t>
      </w:r>
      <w:r w:rsidRPr="00A67908">
        <w:t xml:space="preserve"> </w:t>
      </w:r>
      <w:r w:rsidRPr="00A67908">
        <w:rPr>
          <w:rFonts w:eastAsia="Calibri"/>
          <w:sz w:val="18"/>
          <w:szCs w:val="18"/>
        </w:rPr>
        <w:t>J Am Soc Nephrol 14: 2934–2941, 2003</w:t>
      </w:r>
      <w:r>
        <w:rPr>
          <w:rFonts w:eastAsia="Calibri"/>
          <w:sz w:val="18"/>
          <w:szCs w:val="18"/>
        </w:rPr>
        <w:t>;</w:t>
      </w:r>
      <w:r w:rsidRPr="00593ED6">
        <w:rPr>
          <w:sz w:val="18"/>
          <w:szCs w:val="18"/>
        </w:rPr>
        <w:t xml:space="preserve"> </w:t>
      </w:r>
      <w:r>
        <w:rPr>
          <w:sz w:val="18"/>
          <w:szCs w:val="18"/>
        </w:rPr>
        <w:t xml:space="preserve">3. Lin B. et al., </w:t>
      </w:r>
      <w:r w:rsidRPr="00A67908">
        <w:rPr>
          <w:sz w:val="18"/>
          <w:szCs w:val="18"/>
        </w:rPr>
        <w:t>Prevalence of chronic kidney disease and</w:t>
      </w:r>
      <w:r>
        <w:rPr>
          <w:sz w:val="18"/>
          <w:szCs w:val="18"/>
        </w:rPr>
        <w:t xml:space="preserve"> </w:t>
      </w:r>
      <w:r w:rsidRPr="00A67908">
        <w:rPr>
          <w:sz w:val="18"/>
          <w:szCs w:val="18"/>
        </w:rPr>
        <w:t>its association with metabolic diseases:</w:t>
      </w:r>
      <w:r>
        <w:rPr>
          <w:sz w:val="18"/>
          <w:szCs w:val="18"/>
        </w:rPr>
        <w:t xml:space="preserve"> </w:t>
      </w:r>
      <w:r w:rsidRPr="00A67908">
        <w:rPr>
          <w:sz w:val="18"/>
          <w:szCs w:val="18"/>
        </w:rPr>
        <w:t>a cross-sectional survey in Zhejiang province,</w:t>
      </w:r>
      <w:r>
        <w:rPr>
          <w:sz w:val="18"/>
          <w:szCs w:val="18"/>
        </w:rPr>
        <w:t xml:space="preserve"> </w:t>
      </w:r>
      <w:r w:rsidRPr="00A67908">
        <w:rPr>
          <w:sz w:val="18"/>
          <w:szCs w:val="18"/>
        </w:rPr>
        <w:t>Eastern China</w:t>
      </w:r>
      <w:r>
        <w:rPr>
          <w:sz w:val="18"/>
          <w:szCs w:val="18"/>
        </w:rPr>
        <w:t xml:space="preserve">, BMC Nephrology 2014, 15:36; 4. </w:t>
      </w:r>
      <w:r w:rsidRPr="006B58AB">
        <w:rPr>
          <w:sz w:val="18"/>
          <w:szCs w:val="18"/>
        </w:rPr>
        <w:t xml:space="preserve">Pod red. </w:t>
      </w:r>
      <w:proofErr w:type="spellStart"/>
      <w:r w:rsidRPr="006B58AB">
        <w:rPr>
          <w:sz w:val="18"/>
          <w:szCs w:val="18"/>
        </w:rPr>
        <w:t>nauk</w:t>
      </w:r>
      <w:proofErr w:type="spellEnd"/>
      <w:r w:rsidRPr="006B58AB">
        <w:rPr>
          <w:sz w:val="18"/>
          <w:szCs w:val="18"/>
        </w:rPr>
        <w:t xml:space="preserve">. </w:t>
      </w:r>
      <w:proofErr w:type="spellStart"/>
      <w:r w:rsidRPr="00C57815">
        <w:rPr>
          <w:sz w:val="18"/>
          <w:szCs w:val="18"/>
        </w:rPr>
        <w:t>Duława</w:t>
      </w:r>
      <w:proofErr w:type="spellEnd"/>
      <w:r w:rsidRPr="00C57815">
        <w:rPr>
          <w:sz w:val="18"/>
          <w:szCs w:val="18"/>
        </w:rPr>
        <w:t xml:space="preserve"> J., </w:t>
      </w:r>
      <w:proofErr w:type="spellStart"/>
      <w:r w:rsidRPr="00C57815">
        <w:rPr>
          <w:sz w:val="18"/>
          <w:szCs w:val="18"/>
        </w:rPr>
        <w:t>Vademecum</w:t>
      </w:r>
      <w:proofErr w:type="spellEnd"/>
      <w:r w:rsidRPr="00C57815">
        <w:rPr>
          <w:sz w:val="18"/>
          <w:szCs w:val="18"/>
        </w:rPr>
        <w:t xml:space="preserve"> </w:t>
      </w:r>
      <w:proofErr w:type="spellStart"/>
      <w:r w:rsidRPr="00C57815">
        <w:rPr>
          <w:sz w:val="18"/>
          <w:szCs w:val="18"/>
        </w:rPr>
        <w:t>medycyny</w:t>
      </w:r>
      <w:proofErr w:type="spellEnd"/>
      <w:r w:rsidRPr="00C57815">
        <w:rPr>
          <w:sz w:val="18"/>
          <w:szCs w:val="18"/>
        </w:rPr>
        <w:t xml:space="preserve"> … op. </w:t>
      </w:r>
      <w:r w:rsidRPr="00087034">
        <w:rPr>
          <w:sz w:val="18"/>
          <w:szCs w:val="18"/>
          <w:lang w:val="pl-PL"/>
        </w:rPr>
        <w:t>Cit., s. 577</w:t>
      </w:r>
    </w:p>
    <w:p w14:paraId="47F2231E" w14:textId="77777777" w:rsidR="00C506A0" w:rsidRPr="0021188D" w:rsidRDefault="00547EBC" w:rsidP="0021188D">
      <w:pPr>
        <w:rPr>
          <w:rFonts w:eastAsia="Calibri"/>
          <w:lang w:val="pl-PL"/>
        </w:rPr>
      </w:pPr>
      <w:r>
        <w:rPr>
          <w:rFonts w:eastAsia="Calibri"/>
          <w:lang w:val="pl-PL"/>
        </w:rPr>
        <w:t>Dla zapobiegania chorób istotne jest zarządzanie ryzykiem modyfikowalnym</w:t>
      </w:r>
      <w:r w:rsidR="003518C9">
        <w:rPr>
          <w:rFonts w:eastAsia="Calibri"/>
          <w:lang w:val="pl-PL"/>
        </w:rPr>
        <w:t xml:space="preserve">. W przypadku </w:t>
      </w:r>
      <w:proofErr w:type="spellStart"/>
      <w:r w:rsidR="003518C9">
        <w:rPr>
          <w:rFonts w:eastAsia="Calibri"/>
          <w:lang w:val="pl-PL"/>
        </w:rPr>
        <w:t>PChN</w:t>
      </w:r>
      <w:proofErr w:type="spellEnd"/>
      <w:r w:rsidR="003518C9">
        <w:rPr>
          <w:rFonts w:eastAsia="Calibri"/>
          <w:lang w:val="pl-PL"/>
        </w:rPr>
        <w:t xml:space="preserve"> najważniejsze czynniki to cukrzyca i nadciśnienie tętnicze</w:t>
      </w:r>
      <w:r w:rsidR="006B1406">
        <w:rPr>
          <w:rFonts w:eastAsia="Calibri"/>
          <w:lang w:val="pl-PL"/>
        </w:rPr>
        <w:t xml:space="preserve"> –</w:t>
      </w:r>
      <w:r w:rsidR="003518C9">
        <w:rPr>
          <w:rFonts w:eastAsia="Calibri"/>
          <w:lang w:val="pl-PL"/>
        </w:rPr>
        <w:t xml:space="preserve"> powodujące nefropatię cukrzycową i nefro</w:t>
      </w:r>
      <w:r w:rsidR="00FA6C61">
        <w:rPr>
          <w:rFonts w:eastAsia="Calibri"/>
          <w:lang w:val="pl-PL"/>
        </w:rPr>
        <w:t>patię nadciśnieniową.</w:t>
      </w:r>
    </w:p>
    <w:p w14:paraId="2F3A12BC" w14:textId="77777777" w:rsidR="002A2DDD" w:rsidRPr="002A2DDD" w:rsidRDefault="004E6610" w:rsidP="00BD05A0">
      <w:pPr>
        <w:pStyle w:val="EYHeading2"/>
        <w:rPr>
          <w:rFonts w:eastAsia="Calibri"/>
          <w:lang w:val="pl-PL"/>
        </w:rPr>
      </w:pPr>
      <w:bookmarkStart w:id="69" w:name="_Toc486537912"/>
      <w:r>
        <w:rPr>
          <w:rFonts w:eastAsia="Calibri"/>
          <w:lang w:val="pl-PL"/>
        </w:rPr>
        <w:t xml:space="preserve">Leczenie </w:t>
      </w:r>
      <w:proofErr w:type="spellStart"/>
      <w:r w:rsidR="002A2DDD" w:rsidRPr="002A2DDD">
        <w:rPr>
          <w:rFonts w:eastAsia="Calibri"/>
          <w:lang w:val="pl-PL"/>
        </w:rPr>
        <w:t>PChN</w:t>
      </w:r>
      <w:bookmarkEnd w:id="69"/>
      <w:proofErr w:type="spellEnd"/>
    </w:p>
    <w:p w14:paraId="61ED9228" w14:textId="77777777" w:rsidR="00410A4B" w:rsidRPr="009D74F7" w:rsidRDefault="00410A4B" w:rsidP="00000EF5">
      <w:pPr>
        <w:pStyle w:val="EYHeading3"/>
        <w:rPr>
          <w:rFonts w:eastAsia="Calibri"/>
          <w:color w:val="000000" w:themeColor="text1"/>
          <w:lang w:val="pl-PL"/>
        </w:rPr>
      </w:pPr>
      <w:bookmarkStart w:id="70" w:name="_Toc486537913"/>
      <w:r w:rsidRPr="009D74F7">
        <w:rPr>
          <w:rFonts w:eastAsia="Calibri"/>
          <w:color w:val="000000" w:themeColor="text1"/>
          <w:lang w:val="pl-PL"/>
        </w:rPr>
        <w:t>Leczenie przyczynowe i leczenie chorób współistniejących</w:t>
      </w:r>
      <w:bookmarkEnd w:id="70"/>
    </w:p>
    <w:p w14:paraId="720CFCE4" w14:textId="77777777" w:rsidR="00E70E53" w:rsidRPr="00E70E53" w:rsidRDefault="00E70E53" w:rsidP="00D1201D">
      <w:pPr>
        <w:rPr>
          <w:rFonts w:eastAsia="Calibri"/>
          <w:lang w:val="pl-PL"/>
        </w:rPr>
      </w:pPr>
      <w:r>
        <w:rPr>
          <w:rFonts w:eastAsia="Calibri"/>
          <w:lang w:val="pl-PL"/>
        </w:rPr>
        <w:t>Od przyczyny</w:t>
      </w:r>
      <w:r w:rsidR="00D1201D">
        <w:rPr>
          <w:rFonts w:eastAsia="Calibri"/>
          <w:lang w:val="pl-PL"/>
        </w:rPr>
        <w:t xml:space="preserve"> </w:t>
      </w:r>
      <w:proofErr w:type="spellStart"/>
      <w:r w:rsidR="00D1201D">
        <w:rPr>
          <w:rFonts w:eastAsia="Calibri"/>
          <w:lang w:val="pl-PL"/>
        </w:rPr>
        <w:t>PChN</w:t>
      </w:r>
      <w:proofErr w:type="spellEnd"/>
      <w:r>
        <w:rPr>
          <w:rFonts w:eastAsia="Calibri"/>
          <w:lang w:val="pl-PL"/>
        </w:rPr>
        <w:t xml:space="preserve"> </w:t>
      </w:r>
      <w:r w:rsidR="00D1201D">
        <w:rPr>
          <w:rFonts w:eastAsia="Calibri"/>
          <w:lang w:val="pl-PL"/>
        </w:rPr>
        <w:t>i tempa postępu choroby podstawowej</w:t>
      </w:r>
      <w:r>
        <w:rPr>
          <w:rFonts w:eastAsia="Calibri"/>
          <w:lang w:val="pl-PL"/>
        </w:rPr>
        <w:t xml:space="preserve"> zależy szybkość progresji </w:t>
      </w:r>
      <w:proofErr w:type="spellStart"/>
      <w:r>
        <w:rPr>
          <w:rFonts w:eastAsia="Calibri"/>
          <w:lang w:val="pl-PL"/>
        </w:rPr>
        <w:t>PChN</w:t>
      </w:r>
      <w:proofErr w:type="spellEnd"/>
      <w:r>
        <w:rPr>
          <w:rFonts w:eastAsia="Calibri"/>
          <w:lang w:val="pl-PL"/>
        </w:rPr>
        <w:t xml:space="preserve">, stąd istotne w procesie leczenia pacjenta z przewlekłą chorobą nerek jest optymalne leczenie przyczynowe i </w:t>
      </w:r>
      <w:r w:rsidR="00AD1B97">
        <w:rPr>
          <w:rFonts w:eastAsia="Calibri"/>
          <w:lang w:val="pl-PL"/>
        </w:rPr>
        <w:t xml:space="preserve">leczenie </w:t>
      </w:r>
      <w:r>
        <w:rPr>
          <w:rFonts w:eastAsia="Calibri"/>
          <w:lang w:val="pl-PL"/>
        </w:rPr>
        <w:t>chorób współistniejących</w:t>
      </w:r>
      <w:r w:rsidR="00D1201D">
        <w:rPr>
          <w:rFonts w:eastAsia="Calibri"/>
          <w:lang w:val="pl-PL"/>
        </w:rPr>
        <w:t xml:space="preserve"> – np. cukrzycy czy nadciśnienia tętniczego</w:t>
      </w:r>
      <w:r>
        <w:rPr>
          <w:rFonts w:eastAsia="Calibri"/>
          <w:lang w:val="pl-PL"/>
        </w:rPr>
        <w:t xml:space="preserve">. </w:t>
      </w:r>
      <w:r w:rsidR="00D1201D">
        <w:rPr>
          <w:rFonts w:eastAsia="Calibri"/>
          <w:lang w:val="pl-PL"/>
        </w:rPr>
        <w:t xml:space="preserve">Leczenie przyczynowe </w:t>
      </w:r>
      <w:proofErr w:type="spellStart"/>
      <w:r w:rsidR="00D1201D">
        <w:rPr>
          <w:rFonts w:eastAsia="Calibri"/>
          <w:lang w:val="pl-PL"/>
        </w:rPr>
        <w:t>PChN</w:t>
      </w:r>
      <w:proofErr w:type="spellEnd"/>
      <w:r w:rsidR="00D1201D">
        <w:rPr>
          <w:rFonts w:eastAsia="Calibri"/>
          <w:lang w:val="pl-PL"/>
        </w:rPr>
        <w:t xml:space="preserve"> należy do kompetencji całego zespołu specjalistów, składającego się z nefrologa, diabetologa, kardiologa, lekarza rodzinnego, dietetyka itp. Szczegółowy opis leczenia przyczynowego w </w:t>
      </w:r>
      <w:proofErr w:type="spellStart"/>
      <w:r w:rsidR="00D1201D">
        <w:rPr>
          <w:rFonts w:eastAsia="Calibri"/>
          <w:lang w:val="pl-PL"/>
        </w:rPr>
        <w:t>PChN</w:t>
      </w:r>
      <w:proofErr w:type="spellEnd"/>
      <w:r w:rsidR="00D1201D">
        <w:rPr>
          <w:rFonts w:eastAsia="Calibri"/>
          <w:lang w:val="pl-PL"/>
        </w:rPr>
        <w:t xml:space="preserve"> wykracza poza zakres niniejszego opracowania.</w:t>
      </w:r>
    </w:p>
    <w:p w14:paraId="774EBA66" w14:textId="77777777" w:rsidR="00410A4B" w:rsidRPr="009D74F7" w:rsidRDefault="00410A4B" w:rsidP="00000EF5">
      <w:pPr>
        <w:pStyle w:val="EYHeading3"/>
        <w:rPr>
          <w:rFonts w:eastAsia="Calibri"/>
          <w:color w:val="000000" w:themeColor="text1"/>
          <w:lang w:val="pl-PL"/>
        </w:rPr>
      </w:pPr>
      <w:bookmarkStart w:id="71" w:name="_Toc486537914"/>
      <w:r w:rsidRPr="009D74F7">
        <w:rPr>
          <w:rFonts w:eastAsia="Calibri"/>
          <w:color w:val="000000" w:themeColor="text1"/>
          <w:lang w:val="pl-PL"/>
        </w:rPr>
        <w:t xml:space="preserve">Hamowanie postępu i zapobieganie powikłaniom </w:t>
      </w:r>
      <w:proofErr w:type="spellStart"/>
      <w:r w:rsidRPr="009D74F7">
        <w:rPr>
          <w:rFonts w:eastAsia="Calibri"/>
          <w:color w:val="000000" w:themeColor="text1"/>
          <w:lang w:val="pl-PL"/>
        </w:rPr>
        <w:t>PChN</w:t>
      </w:r>
      <w:bookmarkEnd w:id="71"/>
      <w:proofErr w:type="spellEnd"/>
    </w:p>
    <w:p w14:paraId="2251D9C3" w14:textId="77777777" w:rsidR="00D1201D" w:rsidRDefault="0022670C" w:rsidP="00410A4B">
      <w:pPr>
        <w:rPr>
          <w:rFonts w:eastAsia="Calibri"/>
          <w:lang w:val="pl-PL"/>
        </w:rPr>
      </w:pPr>
      <w:r>
        <w:rPr>
          <w:rFonts w:eastAsia="Calibri"/>
          <w:lang w:val="pl-PL"/>
        </w:rPr>
        <w:t xml:space="preserve">Spowolnienie i hamowanie progresji </w:t>
      </w:r>
      <w:proofErr w:type="spellStart"/>
      <w:r>
        <w:rPr>
          <w:rFonts w:eastAsia="Calibri"/>
          <w:lang w:val="pl-PL"/>
        </w:rPr>
        <w:t>PChN</w:t>
      </w:r>
      <w:proofErr w:type="spellEnd"/>
      <w:r>
        <w:rPr>
          <w:rFonts w:eastAsia="Calibri"/>
          <w:lang w:val="pl-PL"/>
        </w:rPr>
        <w:t xml:space="preserve">, jak i zapobieganie powikłaniom stanowią istotę leczenia pacjenta z </w:t>
      </w:r>
      <w:proofErr w:type="spellStart"/>
      <w:r>
        <w:rPr>
          <w:rFonts w:eastAsia="Calibri"/>
          <w:lang w:val="pl-PL"/>
        </w:rPr>
        <w:t>PChN</w:t>
      </w:r>
      <w:proofErr w:type="spellEnd"/>
      <w:r>
        <w:rPr>
          <w:rFonts w:eastAsia="Calibri"/>
          <w:lang w:val="pl-PL"/>
        </w:rPr>
        <w:t xml:space="preserve"> i pozwalają na </w:t>
      </w:r>
      <w:r w:rsidR="0034753E">
        <w:rPr>
          <w:rFonts w:eastAsia="Calibri"/>
          <w:lang w:val="pl-PL"/>
        </w:rPr>
        <w:t xml:space="preserve">utrzymanie czynności wydalniczej i wydzielniczej oraz </w:t>
      </w:r>
      <w:r>
        <w:rPr>
          <w:rFonts w:eastAsia="Calibri"/>
          <w:lang w:val="pl-PL"/>
        </w:rPr>
        <w:t>możliwie największe opóźnienie momentu konieczności rozpoczęcia leczenia nerkozastępczego. Nawet najlepiej prowadzona dializa (pozaustrojowa czy otrzewnowa) zastępuje wydalniczą czynność nerek</w:t>
      </w:r>
      <w:r w:rsidR="00AD1B97">
        <w:rPr>
          <w:rFonts w:eastAsia="Calibri"/>
          <w:lang w:val="pl-PL"/>
        </w:rPr>
        <w:t xml:space="preserve"> jedynie</w:t>
      </w:r>
      <w:r>
        <w:rPr>
          <w:rFonts w:eastAsia="Calibri"/>
          <w:lang w:val="pl-PL"/>
        </w:rPr>
        <w:t xml:space="preserve"> do 5-10%</w:t>
      </w:r>
      <w:r w:rsidR="0034753E">
        <w:rPr>
          <w:rFonts w:eastAsia="Calibri"/>
          <w:lang w:val="pl-PL"/>
        </w:rPr>
        <w:t xml:space="preserve"> oraz nie zastępuje jej funkcji wydzielniczej,</w:t>
      </w:r>
      <w:r w:rsidR="00D9244E">
        <w:rPr>
          <w:rFonts w:eastAsia="Calibri"/>
          <w:lang w:val="pl-PL"/>
        </w:rPr>
        <w:t xml:space="preserve"> stąd tak ważne jest maksymalnie długie</w:t>
      </w:r>
      <w:r w:rsidR="0034753E">
        <w:rPr>
          <w:rFonts w:eastAsia="Calibri"/>
          <w:lang w:val="pl-PL"/>
        </w:rPr>
        <w:t xml:space="preserve"> utrzymanie funkcjonalności biologicznych nerek pacjenta</w:t>
      </w:r>
      <w:r w:rsidRPr="0022670C">
        <w:rPr>
          <w:rStyle w:val="Odwoanieprzypisudolnego"/>
          <w:rFonts w:eastAsia="Calibri"/>
          <w:sz w:val="22"/>
          <w:lang w:val="pl-PL"/>
        </w:rPr>
        <w:footnoteReference w:id="40"/>
      </w:r>
      <w:r>
        <w:rPr>
          <w:rFonts w:eastAsia="Calibri"/>
          <w:lang w:val="pl-PL"/>
        </w:rPr>
        <w:t>.</w:t>
      </w:r>
      <w:r w:rsidR="0034753E">
        <w:rPr>
          <w:rFonts w:eastAsia="Calibri"/>
          <w:lang w:val="pl-PL"/>
        </w:rPr>
        <w:t xml:space="preserve"> Spowalnianie i hamowanie progresji oraz zapobieganie powikłaniom </w:t>
      </w:r>
      <w:proofErr w:type="spellStart"/>
      <w:r w:rsidR="0034753E">
        <w:rPr>
          <w:rFonts w:eastAsia="Calibri"/>
          <w:lang w:val="pl-PL"/>
        </w:rPr>
        <w:t>PChN</w:t>
      </w:r>
      <w:proofErr w:type="spellEnd"/>
      <w:r w:rsidR="0034753E">
        <w:rPr>
          <w:rFonts w:eastAsia="Calibri"/>
          <w:lang w:val="pl-PL"/>
        </w:rPr>
        <w:t xml:space="preserve"> polega przede wszystkim na</w:t>
      </w:r>
      <w:r w:rsidR="00302451" w:rsidRPr="007B46C2">
        <w:rPr>
          <w:rStyle w:val="Odwoanieprzypisudolnego"/>
          <w:rFonts w:eastAsia="Calibri"/>
          <w:sz w:val="22"/>
          <w:lang w:val="pl-PL"/>
        </w:rPr>
        <w:footnoteReference w:id="41"/>
      </w:r>
      <w:r w:rsidR="00D1201D">
        <w:rPr>
          <w:rFonts w:eastAsia="Calibri"/>
          <w:lang w:val="pl-PL"/>
        </w:rPr>
        <w:t>:</w:t>
      </w:r>
    </w:p>
    <w:p w14:paraId="391BC750" w14:textId="77777777" w:rsidR="00D1201D" w:rsidRDefault="0034753E" w:rsidP="00F84B72">
      <w:pPr>
        <w:pStyle w:val="EYBulletedList1"/>
        <w:numPr>
          <w:ilvl w:val="0"/>
          <w:numId w:val="11"/>
        </w:numPr>
        <w:ind w:left="289" w:hanging="289"/>
        <w:jc w:val="both"/>
        <w:rPr>
          <w:rFonts w:eastAsia="Calibri"/>
          <w:sz w:val="22"/>
          <w:lang w:val="pl-PL"/>
        </w:rPr>
      </w:pPr>
      <w:r w:rsidRPr="00D1201D">
        <w:rPr>
          <w:rFonts w:eastAsia="Calibri"/>
          <w:sz w:val="22"/>
          <w:lang w:val="pl-PL"/>
        </w:rPr>
        <w:t>normalizowaniu ciśnienia tętnicz</w:t>
      </w:r>
      <w:r w:rsidR="00D1201D">
        <w:rPr>
          <w:rFonts w:eastAsia="Calibri"/>
          <w:sz w:val="22"/>
          <w:lang w:val="pl-PL"/>
        </w:rPr>
        <w:t>ego</w:t>
      </w:r>
    </w:p>
    <w:p w14:paraId="79BA07C0" w14:textId="77777777" w:rsidR="00D1201D" w:rsidRDefault="0034753E" w:rsidP="00F84B72">
      <w:pPr>
        <w:pStyle w:val="EYBulletedList1"/>
        <w:numPr>
          <w:ilvl w:val="0"/>
          <w:numId w:val="11"/>
        </w:numPr>
        <w:ind w:left="289" w:hanging="289"/>
        <w:jc w:val="both"/>
        <w:rPr>
          <w:rFonts w:eastAsia="Calibri"/>
          <w:sz w:val="22"/>
          <w:lang w:val="pl-PL"/>
        </w:rPr>
      </w:pPr>
      <w:r w:rsidRPr="00D1201D">
        <w:rPr>
          <w:rFonts w:eastAsia="Calibri"/>
          <w:sz w:val="22"/>
          <w:lang w:val="pl-PL"/>
        </w:rPr>
        <w:t>zmniejszeni</w:t>
      </w:r>
      <w:r w:rsidR="00D1201D">
        <w:rPr>
          <w:rFonts w:eastAsia="Calibri"/>
          <w:sz w:val="22"/>
          <w:lang w:val="pl-PL"/>
        </w:rPr>
        <w:t>u białkomoczu</w:t>
      </w:r>
    </w:p>
    <w:p w14:paraId="70C839B9" w14:textId="77777777" w:rsidR="00D1201D" w:rsidRDefault="0034753E" w:rsidP="00F84B72">
      <w:pPr>
        <w:pStyle w:val="EYBulletedList1"/>
        <w:numPr>
          <w:ilvl w:val="0"/>
          <w:numId w:val="11"/>
        </w:numPr>
        <w:ind w:left="289" w:hanging="289"/>
        <w:jc w:val="both"/>
        <w:rPr>
          <w:rFonts w:eastAsia="Calibri"/>
          <w:sz w:val="22"/>
          <w:lang w:val="pl-PL"/>
        </w:rPr>
      </w:pPr>
      <w:r w:rsidRPr="00D1201D">
        <w:rPr>
          <w:rFonts w:eastAsia="Calibri"/>
          <w:sz w:val="22"/>
          <w:lang w:val="pl-PL"/>
        </w:rPr>
        <w:lastRenderedPageBreak/>
        <w:t>metaboliczn</w:t>
      </w:r>
      <w:r w:rsidR="00D1201D">
        <w:rPr>
          <w:rFonts w:eastAsia="Calibri"/>
          <w:sz w:val="22"/>
          <w:lang w:val="pl-PL"/>
        </w:rPr>
        <w:t>ym wyrównaniu cukrzycy</w:t>
      </w:r>
    </w:p>
    <w:p w14:paraId="4C5B5A7A" w14:textId="77777777" w:rsidR="00620D55" w:rsidRPr="00D1201D" w:rsidRDefault="00620D55" w:rsidP="00F84B72">
      <w:pPr>
        <w:pStyle w:val="EYBulletedList1"/>
        <w:numPr>
          <w:ilvl w:val="0"/>
          <w:numId w:val="11"/>
        </w:numPr>
        <w:ind w:left="289" w:hanging="289"/>
        <w:jc w:val="both"/>
        <w:rPr>
          <w:rFonts w:eastAsia="Calibri"/>
          <w:sz w:val="22"/>
          <w:lang w:val="pl-PL"/>
        </w:rPr>
      </w:pPr>
      <w:r>
        <w:rPr>
          <w:rFonts w:eastAsia="Calibri"/>
          <w:sz w:val="22"/>
          <w:lang w:val="pl-PL"/>
        </w:rPr>
        <w:t>zapobieganiu i leczeniu zaburzeń gospodarki wapniowo-fosforanowej</w:t>
      </w:r>
    </w:p>
    <w:p w14:paraId="67AAE64A" w14:textId="77777777" w:rsidR="00410A4B" w:rsidRPr="00620D55" w:rsidRDefault="00D1201D" w:rsidP="00F84B72">
      <w:pPr>
        <w:pStyle w:val="EYBulletedList1"/>
        <w:numPr>
          <w:ilvl w:val="0"/>
          <w:numId w:val="11"/>
        </w:numPr>
        <w:ind w:left="289" w:hanging="289"/>
        <w:jc w:val="both"/>
        <w:rPr>
          <w:rFonts w:eastAsia="Calibri"/>
          <w:sz w:val="22"/>
          <w:lang w:val="pl-PL"/>
        </w:rPr>
      </w:pPr>
      <w:r w:rsidRPr="00620D55">
        <w:rPr>
          <w:rFonts w:eastAsia="Calibri"/>
          <w:sz w:val="22"/>
          <w:lang w:val="pl-PL"/>
        </w:rPr>
        <w:t>zmianie stylu życia i nawyków (zaprzestanie palenia tytoniu, zwiększenie aktywności fizycznej, zdrowe odżywianie z ograniczoną podażą białka w diecie</w:t>
      </w:r>
      <w:r w:rsidR="00620D55" w:rsidRPr="00620D55">
        <w:rPr>
          <w:rFonts w:eastAsia="Calibri"/>
          <w:sz w:val="22"/>
          <w:lang w:val="pl-PL"/>
        </w:rPr>
        <w:t xml:space="preserve"> przy jednoczesnym zapobieganiu niedożywieniu białkowo-kalorycznemu)</w:t>
      </w:r>
    </w:p>
    <w:p w14:paraId="22519B46" w14:textId="77777777" w:rsidR="00D1201D" w:rsidRDefault="00D1201D" w:rsidP="00F84B72">
      <w:pPr>
        <w:pStyle w:val="EYBulletedList1"/>
        <w:numPr>
          <w:ilvl w:val="0"/>
          <w:numId w:val="11"/>
        </w:numPr>
        <w:ind w:left="289" w:hanging="289"/>
        <w:jc w:val="both"/>
        <w:rPr>
          <w:rFonts w:eastAsia="Calibri"/>
          <w:sz w:val="22"/>
          <w:lang w:val="pl-PL"/>
        </w:rPr>
      </w:pPr>
      <w:r>
        <w:rPr>
          <w:rFonts w:eastAsia="Calibri"/>
          <w:sz w:val="22"/>
          <w:lang w:val="pl-PL"/>
        </w:rPr>
        <w:t xml:space="preserve">leczeniu </w:t>
      </w:r>
      <w:proofErr w:type="spellStart"/>
      <w:r>
        <w:rPr>
          <w:rFonts w:eastAsia="Calibri"/>
          <w:sz w:val="22"/>
          <w:lang w:val="pl-PL"/>
        </w:rPr>
        <w:t>hiperlipidemii</w:t>
      </w:r>
      <w:proofErr w:type="spellEnd"/>
    </w:p>
    <w:p w14:paraId="2FBE7F9B" w14:textId="77777777" w:rsidR="00D1201D" w:rsidRDefault="00620D55" w:rsidP="00F84B72">
      <w:pPr>
        <w:pStyle w:val="EYBulletedList1"/>
        <w:numPr>
          <w:ilvl w:val="0"/>
          <w:numId w:val="11"/>
        </w:numPr>
        <w:ind w:left="289" w:hanging="289"/>
        <w:jc w:val="both"/>
        <w:rPr>
          <w:rFonts w:eastAsia="Calibri"/>
          <w:sz w:val="22"/>
          <w:lang w:val="pl-PL"/>
        </w:rPr>
      </w:pPr>
      <w:r>
        <w:rPr>
          <w:rFonts w:eastAsia="Calibri"/>
          <w:sz w:val="22"/>
          <w:lang w:val="pl-PL"/>
        </w:rPr>
        <w:t>leczeniu niedokrwistości</w:t>
      </w:r>
    </w:p>
    <w:p w14:paraId="3A323979" w14:textId="77777777" w:rsidR="00620D55" w:rsidRDefault="00620D55" w:rsidP="00F84B72">
      <w:pPr>
        <w:pStyle w:val="EYBulletedList1"/>
        <w:numPr>
          <w:ilvl w:val="0"/>
          <w:numId w:val="11"/>
        </w:numPr>
        <w:ind w:left="289" w:hanging="289"/>
        <w:jc w:val="both"/>
        <w:rPr>
          <w:rFonts w:eastAsia="Calibri"/>
          <w:sz w:val="22"/>
          <w:lang w:val="pl-PL"/>
        </w:rPr>
      </w:pPr>
      <w:r>
        <w:rPr>
          <w:rFonts w:eastAsia="Calibri"/>
          <w:sz w:val="22"/>
          <w:lang w:val="pl-PL"/>
        </w:rPr>
        <w:t xml:space="preserve">zapewnieniu odpowiedniego bilansu wodno-elektrolitowego i zwalczaniu kwasicy </w:t>
      </w:r>
      <w:proofErr w:type="spellStart"/>
      <w:r>
        <w:rPr>
          <w:rFonts w:eastAsia="Calibri"/>
          <w:sz w:val="22"/>
          <w:lang w:val="pl-PL"/>
        </w:rPr>
        <w:t>nieoddechowej</w:t>
      </w:r>
      <w:proofErr w:type="spellEnd"/>
    </w:p>
    <w:p w14:paraId="33D39A78" w14:textId="77777777" w:rsidR="00620D55" w:rsidRDefault="00620D55" w:rsidP="00F84B72">
      <w:pPr>
        <w:pStyle w:val="EYBulletedList1"/>
        <w:numPr>
          <w:ilvl w:val="0"/>
          <w:numId w:val="11"/>
        </w:numPr>
        <w:ind w:left="289" w:hanging="289"/>
        <w:jc w:val="both"/>
        <w:rPr>
          <w:rFonts w:eastAsia="Calibri"/>
          <w:sz w:val="22"/>
          <w:lang w:val="pl-PL"/>
        </w:rPr>
      </w:pPr>
      <w:r>
        <w:rPr>
          <w:rFonts w:eastAsia="Calibri"/>
          <w:sz w:val="22"/>
          <w:lang w:val="pl-PL"/>
        </w:rPr>
        <w:t xml:space="preserve">unikaniu leków i substancji </w:t>
      </w:r>
      <w:proofErr w:type="spellStart"/>
      <w:r>
        <w:rPr>
          <w:rFonts w:eastAsia="Calibri"/>
          <w:sz w:val="22"/>
          <w:lang w:val="pl-PL"/>
        </w:rPr>
        <w:t>nefrotoksycznych</w:t>
      </w:r>
      <w:proofErr w:type="spellEnd"/>
    </w:p>
    <w:p w14:paraId="57D9BA52" w14:textId="77777777" w:rsidR="00620D55" w:rsidRDefault="00620D55" w:rsidP="00F84B72">
      <w:pPr>
        <w:pStyle w:val="EYBulletedList1"/>
        <w:numPr>
          <w:ilvl w:val="0"/>
          <w:numId w:val="11"/>
        </w:numPr>
        <w:ind w:left="289" w:hanging="289"/>
        <w:jc w:val="both"/>
        <w:rPr>
          <w:rFonts w:eastAsia="Calibri"/>
          <w:sz w:val="22"/>
          <w:lang w:val="pl-PL"/>
        </w:rPr>
      </w:pPr>
      <w:r>
        <w:rPr>
          <w:rFonts w:eastAsia="Calibri"/>
          <w:sz w:val="22"/>
          <w:lang w:val="pl-PL"/>
        </w:rPr>
        <w:t>zapobieganiu zakażeniom poprzez szczepienia</w:t>
      </w:r>
    </w:p>
    <w:p w14:paraId="56CDB5A1" w14:textId="77777777" w:rsidR="00410A4B" w:rsidRPr="009D74F7" w:rsidRDefault="00410A4B" w:rsidP="00000EF5">
      <w:pPr>
        <w:pStyle w:val="EYHeading3"/>
        <w:rPr>
          <w:rFonts w:eastAsia="Calibri"/>
          <w:color w:val="000000" w:themeColor="text1"/>
          <w:lang w:val="pl-PL"/>
        </w:rPr>
      </w:pPr>
      <w:bookmarkStart w:id="72" w:name="_Toc486537915"/>
      <w:r w:rsidRPr="009D74F7">
        <w:rPr>
          <w:rFonts w:eastAsia="Calibri"/>
          <w:color w:val="000000" w:themeColor="text1"/>
          <w:lang w:val="pl-PL"/>
        </w:rPr>
        <w:t>Przygotowanie do leczenia nerkozastępczego</w:t>
      </w:r>
      <w:bookmarkEnd w:id="72"/>
    </w:p>
    <w:p w14:paraId="2CBDB329" w14:textId="77777777" w:rsidR="00214F74" w:rsidRDefault="00214F74" w:rsidP="00214F74">
      <w:pPr>
        <w:rPr>
          <w:rFonts w:eastAsia="Calibri"/>
          <w:lang w:val="pl-PL"/>
        </w:rPr>
      </w:pPr>
      <w:r>
        <w:rPr>
          <w:rFonts w:eastAsia="Calibri"/>
          <w:lang w:val="pl-PL"/>
        </w:rPr>
        <w:t>Przygotowanie do leczenia nerkozastępczego składa się z następujących elementów</w:t>
      </w:r>
      <w:r w:rsidRPr="001C57A3">
        <w:rPr>
          <w:rStyle w:val="Odwoanieprzypisudolnego"/>
          <w:rFonts w:eastAsia="Calibri"/>
          <w:sz w:val="22"/>
          <w:lang w:val="pl-PL"/>
        </w:rPr>
        <w:footnoteReference w:id="42"/>
      </w:r>
      <w:r>
        <w:rPr>
          <w:rFonts w:eastAsia="Calibri"/>
          <w:lang w:val="pl-PL"/>
        </w:rPr>
        <w:t>:</w:t>
      </w:r>
    </w:p>
    <w:p w14:paraId="048F054A" w14:textId="481ECA50" w:rsidR="00214F74" w:rsidRDefault="00214F74" w:rsidP="00F84B72">
      <w:pPr>
        <w:pStyle w:val="EYBulletedList1"/>
        <w:numPr>
          <w:ilvl w:val="0"/>
          <w:numId w:val="11"/>
        </w:numPr>
        <w:ind w:left="289" w:hanging="289"/>
        <w:jc w:val="both"/>
        <w:rPr>
          <w:rFonts w:eastAsia="Calibri"/>
          <w:sz w:val="22"/>
          <w:lang w:val="pl-PL"/>
        </w:rPr>
      </w:pPr>
      <w:r>
        <w:rPr>
          <w:rFonts w:eastAsia="Calibri"/>
          <w:sz w:val="22"/>
          <w:lang w:val="pl-PL"/>
        </w:rPr>
        <w:t>edukacja pacjenta dotycząca możliwych opcji leczenia nerkozastępczego oraz wybór</w:t>
      </w:r>
      <w:r w:rsidRPr="007E1282">
        <w:rPr>
          <w:rFonts w:eastAsia="Calibri"/>
          <w:sz w:val="22"/>
          <w:lang w:val="pl-PL"/>
        </w:rPr>
        <w:t xml:space="preserve"> metody leczenia pomiędzy dializoterapią a możliwością przeszczepienia</w:t>
      </w:r>
      <w:r>
        <w:rPr>
          <w:rFonts w:eastAsia="Calibri"/>
          <w:sz w:val="22"/>
          <w:lang w:val="pl-PL"/>
        </w:rPr>
        <w:t xml:space="preserve"> narządu</w:t>
      </w:r>
      <w:r w:rsidRPr="007E1282">
        <w:rPr>
          <w:rFonts w:eastAsia="Calibri"/>
          <w:sz w:val="22"/>
          <w:lang w:val="pl-PL"/>
        </w:rPr>
        <w:t xml:space="preserve"> (transplantacja wyprzedzająca</w:t>
      </w:r>
      <w:r w:rsidR="00B63123">
        <w:rPr>
          <w:rFonts w:eastAsia="Calibri"/>
          <w:sz w:val="22"/>
          <w:lang w:val="pl-PL"/>
        </w:rPr>
        <w:t xml:space="preserve"> – przeszczepienie rodzinne</w:t>
      </w:r>
      <w:r w:rsidRPr="007E1282">
        <w:rPr>
          <w:rFonts w:eastAsia="Calibri"/>
          <w:sz w:val="22"/>
          <w:lang w:val="pl-PL"/>
        </w:rPr>
        <w:t>)</w:t>
      </w:r>
      <w:r w:rsidR="00302451">
        <w:rPr>
          <w:rFonts w:eastAsia="Calibri"/>
          <w:sz w:val="22"/>
          <w:lang w:val="pl-PL"/>
        </w:rPr>
        <w:t>, po uwzględnieniu przeciwskazań i preferencji pacjenta dla każdej z metod</w:t>
      </w:r>
      <w:r w:rsidRPr="007E1282">
        <w:rPr>
          <w:rFonts w:eastAsia="Calibri"/>
          <w:sz w:val="22"/>
          <w:lang w:val="pl-PL"/>
        </w:rPr>
        <w:t xml:space="preserve">. </w:t>
      </w:r>
      <w:r w:rsidR="005E68E3">
        <w:rPr>
          <w:rFonts w:eastAsia="Calibri"/>
          <w:sz w:val="22"/>
          <w:lang w:val="pl-PL"/>
        </w:rPr>
        <w:t>W</w:t>
      </w:r>
      <w:r w:rsidRPr="007E1282">
        <w:rPr>
          <w:rFonts w:eastAsia="Calibri"/>
          <w:sz w:val="22"/>
          <w:lang w:val="pl-PL"/>
        </w:rPr>
        <w:t xml:space="preserve"> praktyce klinicznej </w:t>
      </w:r>
      <w:r>
        <w:rPr>
          <w:rFonts w:eastAsia="Calibri"/>
          <w:sz w:val="22"/>
          <w:lang w:val="pl-PL"/>
        </w:rPr>
        <w:t xml:space="preserve">transplantacje </w:t>
      </w:r>
      <w:r w:rsidRPr="007E1282">
        <w:rPr>
          <w:rFonts w:eastAsia="Calibri"/>
          <w:sz w:val="22"/>
          <w:lang w:val="pl-PL"/>
        </w:rPr>
        <w:t>wyprzedzając</w:t>
      </w:r>
      <w:r>
        <w:rPr>
          <w:rFonts w:eastAsia="Calibri"/>
          <w:sz w:val="22"/>
          <w:lang w:val="pl-PL"/>
        </w:rPr>
        <w:t xml:space="preserve">e występują </w:t>
      </w:r>
      <w:r w:rsidRPr="007E1282">
        <w:rPr>
          <w:rFonts w:eastAsia="Calibri"/>
          <w:sz w:val="22"/>
          <w:lang w:val="pl-PL"/>
        </w:rPr>
        <w:t>rzadk</w:t>
      </w:r>
      <w:r>
        <w:rPr>
          <w:rFonts w:eastAsia="Calibri"/>
          <w:sz w:val="22"/>
          <w:lang w:val="pl-PL"/>
        </w:rPr>
        <w:t xml:space="preserve">o </w:t>
      </w:r>
      <w:r w:rsidRPr="007E1282">
        <w:rPr>
          <w:rFonts w:eastAsia="Calibri"/>
          <w:sz w:val="22"/>
          <w:lang w:val="pl-PL"/>
        </w:rPr>
        <w:t xml:space="preserve">i </w:t>
      </w:r>
      <w:r w:rsidR="00A8074C">
        <w:rPr>
          <w:rFonts w:eastAsia="Calibri"/>
          <w:sz w:val="22"/>
          <w:lang w:val="pl-PL"/>
        </w:rPr>
        <w:t>m</w:t>
      </w:r>
      <w:r>
        <w:rPr>
          <w:rFonts w:eastAsia="Calibri"/>
          <w:sz w:val="22"/>
          <w:lang w:val="pl-PL"/>
        </w:rPr>
        <w:t>ożliwość przeszczepienia pojawia się</w:t>
      </w:r>
      <w:r w:rsidR="00A8074C">
        <w:rPr>
          <w:rFonts w:eastAsia="Calibri"/>
          <w:sz w:val="22"/>
          <w:lang w:val="pl-PL"/>
        </w:rPr>
        <w:t xml:space="preserve"> </w:t>
      </w:r>
      <w:r>
        <w:rPr>
          <w:rFonts w:eastAsia="Calibri"/>
          <w:sz w:val="22"/>
          <w:lang w:val="pl-PL"/>
        </w:rPr>
        <w:t>dopiero u pacjentów już dializowanych</w:t>
      </w:r>
    </w:p>
    <w:p w14:paraId="7DCA8FBE" w14:textId="1D96C5E8" w:rsidR="00214F74" w:rsidRDefault="00214F74" w:rsidP="00F84B72">
      <w:pPr>
        <w:pStyle w:val="EYBulletedList1"/>
        <w:numPr>
          <w:ilvl w:val="0"/>
          <w:numId w:val="11"/>
        </w:numPr>
        <w:ind w:left="289" w:hanging="289"/>
        <w:jc w:val="both"/>
        <w:rPr>
          <w:rFonts w:eastAsia="Calibri"/>
          <w:sz w:val="22"/>
          <w:lang w:val="pl-PL"/>
        </w:rPr>
      </w:pPr>
      <w:r w:rsidRPr="00620D55">
        <w:rPr>
          <w:rFonts w:eastAsia="Calibri"/>
          <w:sz w:val="22"/>
          <w:szCs w:val="22"/>
          <w:lang w:val="pl-PL"/>
        </w:rPr>
        <w:t xml:space="preserve">wytworzenie </w:t>
      </w:r>
      <w:r w:rsidR="00302451" w:rsidRPr="00620D55">
        <w:rPr>
          <w:rFonts w:eastAsia="Calibri"/>
          <w:sz w:val="22"/>
          <w:szCs w:val="22"/>
          <w:lang w:val="pl-PL"/>
        </w:rPr>
        <w:t xml:space="preserve">przed rozpoczęciem dializy </w:t>
      </w:r>
      <w:r w:rsidRPr="00620D55">
        <w:rPr>
          <w:rFonts w:eastAsia="Calibri"/>
          <w:sz w:val="22"/>
          <w:szCs w:val="22"/>
          <w:lang w:val="pl-PL"/>
        </w:rPr>
        <w:t>odpowiedniego dostępu naczyniowego</w:t>
      </w:r>
      <w:r w:rsidR="00302451">
        <w:rPr>
          <w:rFonts w:eastAsia="Calibri"/>
          <w:sz w:val="22"/>
          <w:szCs w:val="22"/>
          <w:lang w:val="pl-PL"/>
        </w:rPr>
        <w:t xml:space="preserve"> (przetoka tętniczo-</w:t>
      </w:r>
      <w:r w:rsidR="00302451" w:rsidRPr="00060165">
        <w:rPr>
          <w:rFonts w:eastAsia="Calibri"/>
          <w:color w:val="000000" w:themeColor="text1"/>
          <w:sz w:val="22"/>
          <w:szCs w:val="22"/>
          <w:lang w:val="pl-PL"/>
        </w:rPr>
        <w:t>żylna</w:t>
      </w:r>
      <w:r w:rsidR="00C91DBC" w:rsidRPr="00060165">
        <w:rPr>
          <w:rFonts w:eastAsia="Calibri"/>
          <w:color w:val="000000" w:themeColor="text1"/>
          <w:sz w:val="22"/>
          <w:szCs w:val="22"/>
          <w:lang w:val="pl-PL"/>
        </w:rPr>
        <w:t xml:space="preserve"> z naczyń własnych lub protezy naczyniowej</w:t>
      </w:r>
      <w:r w:rsidR="00B63123" w:rsidRPr="00060165">
        <w:rPr>
          <w:rFonts w:eastAsia="Calibri"/>
          <w:color w:val="000000" w:themeColor="text1"/>
          <w:sz w:val="22"/>
          <w:szCs w:val="22"/>
          <w:lang w:val="pl-PL"/>
        </w:rPr>
        <w:t xml:space="preserve"> </w:t>
      </w:r>
      <w:r w:rsidR="00F55719" w:rsidRPr="00060165">
        <w:rPr>
          <w:rFonts w:eastAsia="Calibri"/>
          <w:color w:val="000000" w:themeColor="text1"/>
          <w:sz w:val="22"/>
          <w:szCs w:val="22"/>
          <w:lang w:val="pl-PL"/>
        </w:rPr>
        <w:t xml:space="preserve">albo – w przypadku przeciwwskazań – </w:t>
      </w:r>
      <w:r w:rsidR="00B63123" w:rsidRPr="00060165">
        <w:rPr>
          <w:rFonts w:eastAsia="Calibri"/>
          <w:color w:val="000000" w:themeColor="text1"/>
          <w:sz w:val="22"/>
          <w:szCs w:val="22"/>
          <w:lang w:val="pl-PL"/>
        </w:rPr>
        <w:t>cewnik</w:t>
      </w:r>
      <w:r w:rsidR="00F55719" w:rsidRPr="00060165">
        <w:rPr>
          <w:rFonts w:eastAsia="Calibri"/>
          <w:color w:val="000000" w:themeColor="text1"/>
          <w:sz w:val="22"/>
          <w:szCs w:val="22"/>
          <w:lang w:val="pl-PL"/>
        </w:rPr>
        <w:t>, który powinien być wszczepiony niedługo przed rozpoczęciem dializoterapii</w:t>
      </w:r>
      <w:r w:rsidR="00302451" w:rsidRPr="00060165">
        <w:rPr>
          <w:rFonts w:eastAsia="Calibri"/>
          <w:color w:val="000000" w:themeColor="text1"/>
          <w:sz w:val="22"/>
          <w:szCs w:val="22"/>
          <w:lang w:val="pl-PL"/>
        </w:rPr>
        <w:t>)</w:t>
      </w:r>
      <w:r w:rsidRPr="00060165">
        <w:rPr>
          <w:rFonts w:eastAsia="Calibri"/>
          <w:color w:val="000000" w:themeColor="text1"/>
          <w:sz w:val="22"/>
          <w:szCs w:val="22"/>
          <w:lang w:val="pl-PL"/>
        </w:rPr>
        <w:t xml:space="preserve"> lub otrzewnowego</w:t>
      </w:r>
      <w:r w:rsidR="00302451" w:rsidRPr="00060165">
        <w:rPr>
          <w:rFonts w:eastAsia="Calibri"/>
          <w:color w:val="000000" w:themeColor="text1"/>
          <w:sz w:val="22"/>
          <w:szCs w:val="22"/>
          <w:lang w:val="pl-PL"/>
        </w:rPr>
        <w:t xml:space="preserve"> </w:t>
      </w:r>
      <w:r w:rsidR="00302451">
        <w:rPr>
          <w:rFonts w:eastAsia="Calibri"/>
          <w:sz w:val="22"/>
          <w:szCs w:val="22"/>
          <w:lang w:val="pl-PL"/>
        </w:rPr>
        <w:t xml:space="preserve">(cewnik do jamy otrzewnej) - </w:t>
      </w:r>
      <w:r w:rsidRPr="00620D55">
        <w:rPr>
          <w:rFonts w:eastAsia="Calibri"/>
          <w:sz w:val="22"/>
          <w:szCs w:val="22"/>
          <w:lang w:val="pl-PL"/>
        </w:rPr>
        <w:t>w zależności od wybranej techniki dializacyjnej</w:t>
      </w:r>
      <w:r w:rsidR="00302451">
        <w:rPr>
          <w:rFonts w:eastAsia="Calibri"/>
          <w:sz w:val="22"/>
          <w:szCs w:val="22"/>
          <w:lang w:val="pl-PL"/>
        </w:rPr>
        <w:t xml:space="preserve">. </w:t>
      </w:r>
      <w:r w:rsidRPr="00620D55">
        <w:rPr>
          <w:rFonts w:eastAsia="Calibri"/>
          <w:sz w:val="22"/>
          <w:szCs w:val="22"/>
          <w:lang w:val="pl-PL"/>
        </w:rPr>
        <w:t>Dostęp musi zostać wytworzony z odpowiednim wyprzedzeniem, natomiast</w:t>
      </w:r>
      <w:r>
        <w:rPr>
          <w:rFonts w:eastAsia="Calibri"/>
          <w:sz w:val="22"/>
          <w:lang w:val="pl-PL"/>
        </w:rPr>
        <w:t xml:space="preserve"> z</w:t>
      </w:r>
      <w:r w:rsidR="00F55719">
        <w:rPr>
          <w:rFonts w:eastAsia="Calibri"/>
          <w:sz w:val="22"/>
          <w:lang w:val="pl-PL"/>
        </w:rPr>
        <w:t>byt</w:t>
      </w:r>
      <w:r>
        <w:rPr>
          <w:rFonts w:eastAsia="Calibri"/>
          <w:sz w:val="22"/>
          <w:lang w:val="pl-PL"/>
        </w:rPr>
        <w:t xml:space="preserve"> wczesne jego wykonanie wiąże się z większym ryzykiem powikłań</w:t>
      </w:r>
    </w:p>
    <w:p w14:paraId="5EF95E23" w14:textId="77777777" w:rsidR="00214F74" w:rsidRPr="007E1282" w:rsidRDefault="00214F74" w:rsidP="00F84B72">
      <w:pPr>
        <w:pStyle w:val="EYBulletedList1"/>
        <w:numPr>
          <w:ilvl w:val="0"/>
          <w:numId w:val="11"/>
        </w:numPr>
        <w:ind w:left="289" w:hanging="289"/>
        <w:jc w:val="both"/>
        <w:rPr>
          <w:rFonts w:eastAsia="Calibri"/>
          <w:sz w:val="22"/>
          <w:lang w:val="pl-PL"/>
        </w:rPr>
      </w:pPr>
      <w:r>
        <w:rPr>
          <w:rFonts w:eastAsia="Calibri"/>
          <w:sz w:val="22"/>
          <w:lang w:val="pl-PL"/>
        </w:rPr>
        <w:t>rozpoczęcie leczenia dializacyjnego zgodnie z określonymi wskazaniami klinicznymi (np.</w:t>
      </w:r>
      <w:r w:rsidR="004C1E26">
        <w:rPr>
          <w:rFonts w:eastAsia="Calibri"/>
          <w:sz w:val="22"/>
          <w:lang w:val="pl-PL"/>
        </w:rPr>
        <w:t> </w:t>
      </w:r>
      <w:r>
        <w:rPr>
          <w:rFonts w:eastAsia="Calibri"/>
          <w:sz w:val="22"/>
          <w:lang w:val="pl-PL"/>
        </w:rPr>
        <w:t xml:space="preserve">osiągnięcie krytycznych wartości wskaźnika GFR, podmiotowe i przedmiotowe objawy mocznicy, niekontrolowane </w:t>
      </w:r>
      <w:proofErr w:type="spellStart"/>
      <w:r>
        <w:rPr>
          <w:rFonts w:eastAsia="Calibri"/>
          <w:sz w:val="22"/>
          <w:lang w:val="pl-PL"/>
        </w:rPr>
        <w:t>przewodnienie</w:t>
      </w:r>
      <w:proofErr w:type="spellEnd"/>
      <w:r>
        <w:rPr>
          <w:rFonts w:eastAsia="Calibri"/>
          <w:sz w:val="22"/>
          <w:lang w:val="pl-PL"/>
        </w:rPr>
        <w:t xml:space="preserve"> lub nadciśnienie tętnicze, niedożywienie białkowo-kaloryczne, kwasica </w:t>
      </w:r>
      <w:proofErr w:type="spellStart"/>
      <w:r>
        <w:rPr>
          <w:rFonts w:eastAsia="Calibri"/>
          <w:sz w:val="22"/>
          <w:lang w:val="pl-PL"/>
        </w:rPr>
        <w:t>nieoddechowa</w:t>
      </w:r>
      <w:proofErr w:type="spellEnd"/>
      <w:r>
        <w:rPr>
          <w:rFonts w:eastAsia="Calibri"/>
          <w:sz w:val="22"/>
          <w:lang w:val="pl-PL"/>
        </w:rPr>
        <w:t xml:space="preserve"> i zaburzenia elektrolitowe oporne na leczenie)</w:t>
      </w:r>
    </w:p>
    <w:p w14:paraId="1F9D5722" w14:textId="77777777" w:rsidR="00000EF5" w:rsidRPr="009D74F7" w:rsidRDefault="00000EF5" w:rsidP="00000EF5">
      <w:pPr>
        <w:pStyle w:val="EYHeading3"/>
        <w:rPr>
          <w:rFonts w:eastAsia="Calibri"/>
          <w:color w:val="000000" w:themeColor="text1"/>
          <w:lang w:val="pl-PL"/>
        </w:rPr>
      </w:pPr>
      <w:bookmarkStart w:id="73" w:name="_Toc486537916"/>
      <w:r w:rsidRPr="009D74F7">
        <w:rPr>
          <w:rFonts w:eastAsia="Calibri"/>
          <w:color w:val="000000" w:themeColor="text1"/>
          <w:lang w:val="pl-PL"/>
        </w:rPr>
        <w:t>Leczenie nerkozastępcze</w:t>
      </w:r>
      <w:bookmarkEnd w:id="73"/>
    </w:p>
    <w:p w14:paraId="0F1701AB" w14:textId="2EF2839D" w:rsidR="008B11CD" w:rsidRDefault="00302451" w:rsidP="00000EF5">
      <w:pPr>
        <w:rPr>
          <w:rFonts w:eastAsia="Calibri"/>
          <w:lang w:val="pl-PL"/>
        </w:rPr>
      </w:pPr>
      <w:r>
        <w:rPr>
          <w:rFonts w:eastAsia="Calibri"/>
          <w:lang w:val="pl-PL"/>
        </w:rPr>
        <w:t xml:space="preserve">Kiedy leczenie przyczynowe, spowalnianie i hamowanie postępu </w:t>
      </w:r>
      <w:proofErr w:type="spellStart"/>
      <w:r>
        <w:rPr>
          <w:rFonts w:eastAsia="Calibri"/>
          <w:lang w:val="pl-PL"/>
        </w:rPr>
        <w:t>PChN</w:t>
      </w:r>
      <w:proofErr w:type="spellEnd"/>
      <w:r w:rsidR="004C1E26">
        <w:rPr>
          <w:rFonts w:eastAsia="Calibri"/>
          <w:lang w:val="pl-PL"/>
        </w:rPr>
        <w:t xml:space="preserve"> oraz leczenie powikłań przestają przynosić oczekiwane rezu</w:t>
      </w:r>
      <w:r w:rsidR="007B46C2">
        <w:rPr>
          <w:rFonts w:eastAsia="Calibri"/>
          <w:lang w:val="pl-PL"/>
        </w:rPr>
        <w:t>ltaty</w:t>
      </w:r>
      <w:r w:rsidR="004C1E26">
        <w:rPr>
          <w:rFonts w:eastAsia="Calibri"/>
          <w:lang w:val="pl-PL"/>
        </w:rPr>
        <w:t>, a stan zdrowia</w:t>
      </w:r>
      <w:r w:rsidR="007B46C2">
        <w:rPr>
          <w:rFonts w:eastAsia="Calibri"/>
          <w:lang w:val="pl-PL"/>
        </w:rPr>
        <w:t xml:space="preserve"> i jakość życia</w:t>
      </w:r>
      <w:r w:rsidR="004C1E26">
        <w:rPr>
          <w:rFonts w:eastAsia="Calibri"/>
          <w:lang w:val="pl-PL"/>
        </w:rPr>
        <w:t xml:space="preserve"> pacjenta pogarsza</w:t>
      </w:r>
      <w:r w:rsidR="007B46C2">
        <w:rPr>
          <w:rFonts w:eastAsia="Calibri"/>
          <w:lang w:val="pl-PL"/>
        </w:rPr>
        <w:t>ją</w:t>
      </w:r>
      <w:r w:rsidR="004C1E26">
        <w:rPr>
          <w:rFonts w:eastAsia="Calibri"/>
          <w:lang w:val="pl-PL"/>
        </w:rPr>
        <w:t xml:space="preserve"> się, pojawiają się wskazania kliniczne</w:t>
      </w:r>
      <w:r w:rsidR="001E35A3">
        <w:rPr>
          <w:rFonts w:eastAsia="Calibri"/>
          <w:lang w:val="pl-PL"/>
        </w:rPr>
        <w:t xml:space="preserve"> </w:t>
      </w:r>
      <w:r w:rsidR="004C1E26">
        <w:rPr>
          <w:rFonts w:eastAsia="Calibri"/>
          <w:lang w:val="pl-PL"/>
        </w:rPr>
        <w:t xml:space="preserve">do leczenia nerkozastępczego. Leczenie nerkozastępcze występuje w dwóch postaciach - </w:t>
      </w:r>
      <w:r w:rsidR="00A8074C">
        <w:rPr>
          <w:rFonts w:eastAsia="Calibri"/>
          <w:lang w:val="pl-PL"/>
        </w:rPr>
        <w:t>dializ</w:t>
      </w:r>
      <w:r w:rsidR="004C1E26">
        <w:rPr>
          <w:rFonts w:eastAsia="Calibri"/>
          <w:lang w:val="pl-PL"/>
        </w:rPr>
        <w:t>oterapii lub</w:t>
      </w:r>
      <w:r w:rsidR="00A8074C">
        <w:rPr>
          <w:rFonts w:eastAsia="Calibri"/>
          <w:lang w:val="pl-PL"/>
        </w:rPr>
        <w:t xml:space="preserve"> przeszczepienia</w:t>
      </w:r>
      <w:r w:rsidR="004C1E26">
        <w:rPr>
          <w:rFonts w:eastAsia="Calibri"/>
          <w:lang w:val="pl-PL"/>
        </w:rPr>
        <w:t xml:space="preserve"> </w:t>
      </w:r>
      <w:r w:rsidR="009E6153">
        <w:rPr>
          <w:rFonts w:eastAsia="Calibri"/>
          <w:lang w:val="pl-PL"/>
        </w:rPr>
        <w:t>nerki</w:t>
      </w:r>
      <w:r w:rsidR="00A8074C">
        <w:rPr>
          <w:rFonts w:eastAsia="Calibri"/>
          <w:lang w:val="pl-PL"/>
        </w:rPr>
        <w:t xml:space="preserve">. </w:t>
      </w:r>
      <w:r w:rsidR="00F55719">
        <w:rPr>
          <w:rFonts w:eastAsia="Calibri"/>
          <w:lang w:val="pl-PL"/>
        </w:rPr>
        <w:t xml:space="preserve">Optymalną formą leczenia </w:t>
      </w:r>
      <w:r w:rsidR="004C1E26">
        <w:rPr>
          <w:rFonts w:eastAsia="Calibri"/>
          <w:lang w:val="pl-PL"/>
        </w:rPr>
        <w:t>nerkozastępcz</w:t>
      </w:r>
      <w:r w:rsidR="00F55719">
        <w:rPr>
          <w:rFonts w:eastAsia="Calibri"/>
          <w:lang w:val="pl-PL"/>
        </w:rPr>
        <w:t>ego</w:t>
      </w:r>
      <w:r w:rsidR="004C1E26">
        <w:rPr>
          <w:rFonts w:eastAsia="Calibri"/>
          <w:lang w:val="pl-PL"/>
        </w:rPr>
        <w:t xml:space="preserve"> jest przeszczepienie </w:t>
      </w:r>
      <w:r w:rsidR="009E6153">
        <w:rPr>
          <w:rFonts w:eastAsia="Calibri"/>
          <w:lang w:val="pl-PL"/>
        </w:rPr>
        <w:t xml:space="preserve">narządu </w:t>
      </w:r>
      <w:r w:rsidR="00116BDB">
        <w:rPr>
          <w:rFonts w:eastAsia="Calibri"/>
          <w:lang w:val="pl-PL"/>
        </w:rPr>
        <w:t>(transplantacja wyprzedzająca).</w:t>
      </w:r>
      <w:r w:rsidR="00F55719">
        <w:rPr>
          <w:rFonts w:eastAsia="Calibri"/>
          <w:lang w:val="pl-PL"/>
        </w:rPr>
        <w:t xml:space="preserve"> Jednak z różnych przyczyn transplantacja wyprzedzająca jest trudno osiągalna.</w:t>
      </w:r>
      <w:r w:rsidR="00282AA0">
        <w:rPr>
          <w:rFonts w:eastAsia="Calibri"/>
          <w:lang w:val="pl-PL"/>
        </w:rPr>
        <w:t xml:space="preserve"> </w:t>
      </w:r>
      <w:r w:rsidR="00116BDB">
        <w:rPr>
          <w:rFonts w:eastAsia="Calibri"/>
          <w:lang w:val="pl-PL"/>
        </w:rPr>
        <w:t xml:space="preserve">Każdą osobę </w:t>
      </w:r>
      <w:r w:rsidR="0075756C">
        <w:rPr>
          <w:rFonts w:eastAsia="Calibri"/>
          <w:lang w:val="pl-PL"/>
        </w:rPr>
        <w:t xml:space="preserve">już </w:t>
      </w:r>
      <w:r w:rsidR="00116BDB">
        <w:rPr>
          <w:rFonts w:eastAsia="Calibri"/>
          <w:lang w:val="pl-PL"/>
        </w:rPr>
        <w:t xml:space="preserve">podlegającą dializie należy traktować również jako potencjalnego biorcę przeszczepu nerki. </w:t>
      </w:r>
      <w:r w:rsidR="00FB5BAE">
        <w:rPr>
          <w:rFonts w:eastAsia="Calibri"/>
          <w:lang w:val="pl-PL"/>
        </w:rPr>
        <w:t>Główny cel d</w:t>
      </w:r>
      <w:r w:rsidR="00116BDB">
        <w:rPr>
          <w:rFonts w:eastAsia="Calibri"/>
          <w:lang w:val="pl-PL"/>
        </w:rPr>
        <w:t>ializoterapi</w:t>
      </w:r>
      <w:r w:rsidR="00FB5BAE">
        <w:rPr>
          <w:rFonts w:eastAsia="Calibri"/>
          <w:lang w:val="pl-PL"/>
        </w:rPr>
        <w:t xml:space="preserve">i to </w:t>
      </w:r>
      <w:r w:rsidR="00FB5BAE">
        <w:rPr>
          <w:rFonts w:eastAsia="Calibri"/>
          <w:lang w:val="pl-PL"/>
        </w:rPr>
        <w:lastRenderedPageBreak/>
        <w:t xml:space="preserve">utrzymanie pacjenta przy życiu, a sama dializoterapia </w:t>
      </w:r>
      <w:r w:rsidR="00116BDB">
        <w:rPr>
          <w:rFonts w:eastAsia="Calibri"/>
          <w:lang w:val="pl-PL"/>
        </w:rPr>
        <w:t xml:space="preserve">pozwala jedynie na zastąpienie funkcji </w:t>
      </w:r>
      <w:r w:rsidR="00116BDB" w:rsidRPr="009D74F7">
        <w:rPr>
          <w:rFonts w:eastAsia="Calibri"/>
          <w:lang w:val="pl-PL"/>
        </w:rPr>
        <w:t>wydalniczej i homeostatycznej</w:t>
      </w:r>
      <w:r w:rsidR="00116BDB">
        <w:rPr>
          <w:rFonts w:eastAsia="Calibri"/>
          <w:lang w:val="pl-PL"/>
        </w:rPr>
        <w:t xml:space="preserve"> nerek, natomiast czynność wydzielniczą można zastąpić przez stosowanie leków. </w:t>
      </w:r>
      <w:r w:rsidR="00B8082D">
        <w:rPr>
          <w:rFonts w:eastAsia="Calibri"/>
          <w:lang w:val="pl-PL"/>
        </w:rPr>
        <w:t>Z kolei t</w:t>
      </w:r>
      <w:r w:rsidR="00116BDB">
        <w:rPr>
          <w:rFonts w:eastAsia="Calibri"/>
          <w:lang w:val="pl-PL"/>
        </w:rPr>
        <w:t>ransplantacja</w:t>
      </w:r>
      <w:r w:rsidR="00B8082D">
        <w:rPr>
          <w:rFonts w:eastAsia="Calibri"/>
          <w:lang w:val="pl-PL"/>
        </w:rPr>
        <w:t xml:space="preserve"> </w:t>
      </w:r>
      <w:r w:rsidR="00116BDB">
        <w:rPr>
          <w:rFonts w:eastAsia="Calibri"/>
          <w:lang w:val="pl-PL"/>
        </w:rPr>
        <w:t xml:space="preserve">pozwala na </w:t>
      </w:r>
      <w:r w:rsidR="004C1E26">
        <w:rPr>
          <w:rFonts w:eastAsia="Calibri"/>
          <w:lang w:val="pl-PL"/>
        </w:rPr>
        <w:t>zastąpieni</w:t>
      </w:r>
      <w:r w:rsidR="00116BDB">
        <w:rPr>
          <w:rFonts w:eastAsia="Calibri"/>
          <w:lang w:val="pl-PL"/>
        </w:rPr>
        <w:t>e</w:t>
      </w:r>
      <w:r w:rsidR="004C1E26">
        <w:rPr>
          <w:rFonts w:eastAsia="Calibri"/>
          <w:lang w:val="pl-PL"/>
        </w:rPr>
        <w:t xml:space="preserve"> </w:t>
      </w:r>
      <w:r w:rsidR="00B8082D">
        <w:rPr>
          <w:rFonts w:eastAsia="Calibri"/>
          <w:lang w:val="pl-PL"/>
        </w:rPr>
        <w:t xml:space="preserve">zarówno </w:t>
      </w:r>
      <w:r w:rsidR="004C1E26">
        <w:rPr>
          <w:rFonts w:eastAsia="Calibri"/>
          <w:lang w:val="pl-PL"/>
        </w:rPr>
        <w:t>czynności wydalniczej</w:t>
      </w:r>
      <w:r w:rsidR="00116BDB">
        <w:rPr>
          <w:rFonts w:eastAsia="Calibri"/>
          <w:lang w:val="pl-PL"/>
        </w:rPr>
        <w:t xml:space="preserve"> i homeostatycznej</w:t>
      </w:r>
      <w:r w:rsidR="004C1E26">
        <w:rPr>
          <w:rFonts w:eastAsia="Calibri"/>
          <w:lang w:val="pl-PL"/>
        </w:rPr>
        <w:t>, jak i wydzielniczej nerek</w:t>
      </w:r>
      <w:r w:rsidR="00FB5BAE">
        <w:rPr>
          <w:rFonts w:eastAsia="Calibri"/>
          <w:lang w:val="pl-PL"/>
        </w:rPr>
        <w:t>. Dodatkowo</w:t>
      </w:r>
      <w:r w:rsidR="00544A6B">
        <w:rPr>
          <w:rFonts w:eastAsia="Calibri"/>
          <w:lang w:val="pl-PL"/>
        </w:rPr>
        <w:t xml:space="preserve">, w porównaniu do dializ, </w:t>
      </w:r>
      <w:r w:rsidR="00FB5BAE">
        <w:rPr>
          <w:rFonts w:eastAsia="Calibri"/>
          <w:lang w:val="pl-PL"/>
        </w:rPr>
        <w:t>przeszczepienie zapewnia</w:t>
      </w:r>
      <w:r w:rsidR="00544A6B">
        <w:rPr>
          <w:rFonts w:eastAsia="Calibri"/>
          <w:lang w:val="pl-PL"/>
        </w:rPr>
        <w:t xml:space="preserve"> dłuższe przeżycie, lepszą jakość życia i</w:t>
      </w:r>
      <w:r w:rsidR="00B8082D">
        <w:rPr>
          <w:rFonts w:eastAsia="Calibri"/>
          <w:lang w:val="pl-PL"/>
        </w:rPr>
        <w:t xml:space="preserve"> w dłuższym czasie</w:t>
      </w:r>
      <w:r w:rsidR="00544A6B">
        <w:rPr>
          <w:rFonts w:eastAsia="Calibri"/>
          <w:lang w:val="pl-PL"/>
        </w:rPr>
        <w:t xml:space="preserve"> mniejsze koszty terapii</w:t>
      </w:r>
      <w:r w:rsidR="00544A6B" w:rsidRPr="00544A6B">
        <w:rPr>
          <w:rStyle w:val="Odwoanieprzypisudolnego"/>
          <w:rFonts w:eastAsia="Calibri"/>
          <w:sz w:val="22"/>
          <w:lang w:val="pl-PL"/>
        </w:rPr>
        <w:footnoteReference w:id="43"/>
      </w:r>
      <w:r w:rsidR="004C1E26">
        <w:rPr>
          <w:rFonts w:eastAsia="Calibri"/>
          <w:lang w:val="pl-PL"/>
        </w:rPr>
        <w:t xml:space="preserve">. </w:t>
      </w:r>
      <w:r w:rsidR="008B11CD">
        <w:rPr>
          <w:rFonts w:eastAsia="Calibri"/>
          <w:lang w:val="pl-PL"/>
        </w:rPr>
        <w:t>Trzeba</w:t>
      </w:r>
      <w:r w:rsidR="008B11CD" w:rsidRPr="008B11CD">
        <w:rPr>
          <w:rFonts w:eastAsia="Calibri"/>
          <w:lang w:val="pl-PL"/>
        </w:rPr>
        <w:t xml:space="preserve"> przy tym zaznaczyć, że do przeszczepu kwalifikowani są chorzy w relatywnie najlepszym stanie klinicznym, u których koszty dializoterapii są, z uwagi na ograniczoną liczbę ciężkich powikłań i chorób współistniejących</w:t>
      </w:r>
      <w:r w:rsidR="008B11CD">
        <w:rPr>
          <w:rFonts w:eastAsia="Calibri"/>
          <w:lang w:val="pl-PL"/>
        </w:rPr>
        <w:t xml:space="preserve">, </w:t>
      </w:r>
      <w:r w:rsidR="008B11CD" w:rsidRPr="008B11CD">
        <w:rPr>
          <w:rFonts w:eastAsia="Calibri"/>
          <w:lang w:val="pl-PL"/>
        </w:rPr>
        <w:t xml:space="preserve">niższe niż u statystycznego chorego dializowanego. Stąd też należy do wspomnianych statystyk podchodzić z dużą ostrożnością. </w:t>
      </w:r>
    </w:p>
    <w:p w14:paraId="722474D6" w14:textId="00A7AE21" w:rsidR="00214F74" w:rsidRDefault="004C1E26" w:rsidP="00000EF5">
      <w:pPr>
        <w:rPr>
          <w:rFonts w:eastAsia="Calibri"/>
          <w:lang w:val="pl-PL"/>
        </w:rPr>
      </w:pPr>
      <w:r>
        <w:rPr>
          <w:rFonts w:eastAsia="Calibri"/>
          <w:lang w:val="pl-PL"/>
        </w:rPr>
        <w:t>Do</w:t>
      </w:r>
      <w:r w:rsidR="007B46C2">
        <w:rPr>
          <w:rFonts w:eastAsia="Calibri"/>
          <w:lang w:val="pl-PL"/>
        </w:rPr>
        <w:t xml:space="preserve"> rodzajów dializoterapii należą hemodializa</w:t>
      </w:r>
      <w:r w:rsidR="00FB5BAE">
        <w:rPr>
          <w:rFonts w:eastAsia="Calibri"/>
          <w:lang w:val="pl-PL"/>
        </w:rPr>
        <w:t xml:space="preserve"> (najczęściej stosowana metoda leczenia nerkozastępczego)</w:t>
      </w:r>
      <w:r w:rsidR="007B46C2">
        <w:rPr>
          <w:rFonts w:eastAsia="Calibri"/>
          <w:lang w:val="pl-PL"/>
        </w:rPr>
        <w:t xml:space="preserve">, dializa otrzewnowa i </w:t>
      </w:r>
      <w:proofErr w:type="spellStart"/>
      <w:r w:rsidR="007B46C2">
        <w:rPr>
          <w:rFonts w:eastAsia="Calibri"/>
          <w:lang w:val="pl-PL"/>
        </w:rPr>
        <w:t>hemodiafiltracja</w:t>
      </w:r>
      <w:proofErr w:type="spellEnd"/>
      <w:r w:rsidR="007B46C2">
        <w:rPr>
          <w:rFonts w:eastAsia="Calibri"/>
          <w:lang w:val="pl-PL"/>
        </w:rPr>
        <w:t>.</w:t>
      </w:r>
    </w:p>
    <w:p w14:paraId="7BA32C80" w14:textId="77777777" w:rsidR="00000EF5" w:rsidRPr="009D74F7" w:rsidRDefault="00000EF5" w:rsidP="00000EF5">
      <w:pPr>
        <w:pStyle w:val="EYHeading4"/>
        <w:rPr>
          <w:rFonts w:eastAsia="Calibri"/>
          <w:color w:val="000000" w:themeColor="text1"/>
          <w:lang w:val="pl-PL"/>
        </w:rPr>
      </w:pPr>
      <w:bookmarkStart w:id="74" w:name="_Toc486537917"/>
      <w:r w:rsidRPr="009D74F7">
        <w:rPr>
          <w:rFonts w:eastAsia="Calibri"/>
          <w:color w:val="000000" w:themeColor="text1"/>
          <w:lang w:val="pl-PL"/>
        </w:rPr>
        <w:t>Hemodializa</w:t>
      </w:r>
      <w:bookmarkEnd w:id="74"/>
    </w:p>
    <w:p w14:paraId="3DEF26F5" w14:textId="0BF15A3E" w:rsidR="00411D8A" w:rsidRDefault="00E8055F" w:rsidP="007B46C2">
      <w:pPr>
        <w:rPr>
          <w:rFonts w:eastAsia="Calibri"/>
          <w:lang w:val="pl-PL"/>
        </w:rPr>
      </w:pPr>
      <w:r>
        <w:rPr>
          <w:rFonts w:eastAsia="Calibri"/>
          <w:lang w:val="pl-PL"/>
        </w:rPr>
        <w:t>Hemodializa</w:t>
      </w:r>
      <w:r w:rsidR="00CA7BEC">
        <w:rPr>
          <w:rFonts w:eastAsia="Calibri"/>
          <w:lang w:val="pl-PL"/>
        </w:rPr>
        <w:t xml:space="preserve"> (HD)</w:t>
      </w:r>
      <w:r>
        <w:rPr>
          <w:rFonts w:eastAsia="Calibri"/>
          <w:lang w:val="pl-PL"/>
        </w:rPr>
        <w:t xml:space="preserve"> jest techniką oczyszczania </w:t>
      </w:r>
      <w:proofErr w:type="spellStart"/>
      <w:r>
        <w:rPr>
          <w:rFonts w:eastAsia="Calibri"/>
          <w:lang w:val="pl-PL"/>
        </w:rPr>
        <w:t>zewnątrzustrojowego</w:t>
      </w:r>
      <w:proofErr w:type="spellEnd"/>
      <w:r>
        <w:rPr>
          <w:rFonts w:eastAsia="Calibri"/>
          <w:lang w:val="pl-PL"/>
        </w:rPr>
        <w:t xml:space="preserve"> krwi i płynów ustrojowych z</w:t>
      </w:r>
      <w:r w:rsidR="008B11CD">
        <w:rPr>
          <w:rFonts w:eastAsia="Calibri"/>
          <w:lang w:val="pl-PL"/>
        </w:rPr>
        <w:t xml:space="preserve"> </w:t>
      </w:r>
      <w:r w:rsidR="008B11CD" w:rsidRPr="008B11CD">
        <w:rPr>
          <w:rFonts w:eastAsia="Calibri"/>
          <w:lang w:val="pl-PL"/>
        </w:rPr>
        <w:t xml:space="preserve">nadmiaru wody </w:t>
      </w:r>
      <w:r w:rsidR="008B11CD">
        <w:rPr>
          <w:rFonts w:eastAsia="Calibri"/>
          <w:lang w:val="pl-PL"/>
        </w:rPr>
        <w:t>i</w:t>
      </w:r>
      <w:r>
        <w:rPr>
          <w:rFonts w:eastAsia="Calibri"/>
          <w:lang w:val="pl-PL"/>
        </w:rPr>
        <w:t xml:space="preserve"> zbędnych substancji będących toksynami mocznicowymi</w:t>
      </w:r>
      <w:r w:rsidR="00083D14">
        <w:rPr>
          <w:rFonts w:eastAsia="Calibri"/>
          <w:lang w:val="pl-PL"/>
        </w:rPr>
        <w:t xml:space="preserve">. W hemodializie wykorzystuje się </w:t>
      </w:r>
      <w:r>
        <w:rPr>
          <w:rFonts w:eastAsia="Calibri"/>
          <w:lang w:val="pl-PL"/>
        </w:rPr>
        <w:t>dwa mechanizmy fizykochemiczne: prawo różnicy stężeń oraz</w:t>
      </w:r>
      <w:r w:rsidR="00CA7BEC">
        <w:rPr>
          <w:rFonts w:eastAsia="Calibri"/>
          <w:lang w:val="pl-PL"/>
        </w:rPr>
        <w:t xml:space="preserve"> prawo różnicy ciśnień</w:t>
      </w:r>
      <w:r w:rsidR="00083D14">
        <w:rPr>
          <w:rFonts w:eastAsia="Calibri"/>
          <w:lang w:val="pl-PL"/>
        </w:rPr>
        <w:t xml:space="preserve"> w trzech procesach: dyfuzji, ultrafiltracji i konwekcji</w:t>
      </w:r>
      <w:r w:rsidR="00CA7BEC">
        <w:rPr>
          <w:rFonts w:eastAsia="Calibri"/>
          <w:lang w:val="pl-PL"/>
        </w:rPr>
        <w:t>. Do przeprowadzenia hemodializy niezbędny jest aparat do HD (tzw. sztuczna nerka), dreny, dializator oraz płyn dializacyjny. Aparat do HD służy do wytwarzania ostatecznego płynu dializacyjnego</w:t>
      </w:r>
      <w:r w:rsidR="00C74905">
        <w:rPr>
          <w:rFonts w:eastAsia="Calibri"/>
          <w:lang w:val="pl-PL"/>
        </w:rPr>
        <w:t xml:space="preserve"> z koncentratu i wody</w:t>
      </w:r>
      <w:r w:rsidR="00CA7BEC">
        <w:rPr>
          <w:rFonts w:eastAsia="Calibri"/>
          <w:lang w:val="pl-PL"/>
        </w:rPr>
        <w:t>, przetaczania krwi i płynu dializacyjnego przez dializator oraz pomiaru parametrów do monitorowania przebiegu hemodializy</w:t>
      </w:r>
      <w:r w:rsidR="00A6366B" w:rsidRPr="00411D8A">
        <w:rPr>
          <w:rStyle w:val="Odwoanieprzypisudolnego"/>
          <w:rFonts w:eastAsia="Calibri"/>
          <w:sz w:val="22"/>
          <w:lang w:val="pl-PL"/>
        </w:rPr>
        <w:footnoteReference w:id="44"/>
      </w:r>
      <w:r w:rsidR="00A6366B">
        <w:rPr>
          <w:rFonts w:eastAsia="Calibri"/>
          <w:lang w:val="pl-PL"/>
        </w:rPr>
        <w:t>.</w:t>
      </w:r>
      <w:r w:rsidR="00411D8A">
        <w:rPr>
          <w:rFonts w:eastAsia="Calibri"/>
          <w:lang w:val="pl-PL"/>
        </w:rPr>
        <w:t xml:space="preserve"> Pacjent hemodializowany wymaga utworzenia wydajnego dostępu naczyniowego pozwalającego na przepływ krwi przez dializator w </w:t>
      </w:r>
      <w:r w:rsidR="00B8082D">
        <w:rPr>
          <w:rFonts w:eastAsia="Calibri"/>
          <w:lang w:val="pl-PL"/>
        </w:rPr>
        <w:t xml:space="preserve">optymalnym </w:t>
      </w:r>
      <w:r w:rsidR="00411D8A">
        <w:rPr>
          <w:rFonts w:eastAsia="Calibri"/>
          <w:lang w:val="pl-PL"/>
        </w:rPr>
        <w:t xml:space="preserve">tempie </w:t>
      </w:r>
      <w:r w:rsidR="00B8082D">
        <w:rPr>
          <w:rFonts w:eastAsia="Calibri"/>
          <w:lang w:val="pl-PL"/>
        </w:rPr>
        <w:t>250-</w:t>
      </w:r>
      <w:r w:rsidR="008B11CD">
        <w:rPr>
          <w:rFonts w:eastAsia="Calibri"/>
          <w:lang w:val="pl-PL"/>
        </w:rPr>
        <w:t>4</w:t>
      </w:r>
      <w:r w:rsidR="00B8082D">
        <w:rPr>
          <w:rFonts w:eastAsia="Calibri"/>
          <w:lang w:val="pl-PL"/>
        </w:rPr>
        <w:t>00 ml</w:t>
      </w:r>
      <w:r w:rsidR="00411D8A">
        <w:rPr>
          <w:rFonts w:eastAsia="Calibri"/>
          <w:lang w:val="pl-PL"/>
        </w:rPr>
        <w:t>/min. Wyróżnia się cztery rodzaje dostępów naczyniowych</w:t>
      </w:r>
      <w:r w:rsidR="00116BDB" w:rsidRPr="00411D8A">
        <w:rPr>
          <w:rStyle w:val="Odwoanieprzypisudolnego"/>
          <w:rFonts w:eastAsia="Calibri"/>
          <w:sz w:val="22"/>
          <w:lang w:val="pl-PL"/>
        </w:rPr>
        <w:footnoteReference w:id="45"/>
      </w:r>
      <w:r w:rsidR="00411D8A">
        <w:rPr>
          <w:rFonts w:eastAsia="Calibri"/>
          <w:lang w:val="pl-PL"/>
        </w:rPr>
        <w:t>:</w:t>
      </w:r>
    </w:p>
    <w:p w14:paraId="1AB6539B" w14:textId="77777777" w:rsidR="00411D8A" w:rsidRPr="00C74905" w:rsidRDefault="00C74905" w:rsidP="00F84B72">
      <w:pPr>
        <w:pStyle w:val="EYBulletedList1"/>
        <w:numPr>
          <w:ilvl w:val="0"/>
          <w:numId w:val="11"/>
        </w:numPr>
        <w:ind w:left="289" w:hanging="289"/>
        <w:jc w:val="both"/>
        <w:rPr>
          <w:rFonts w:eastAsia="Calibri"/>
          <w:sz w:val="22"/>
          <w:lang w:val="pl-PL"/>
        </w:rPr>
      </w:pPr>
      <w:r w:rsidRPr="00C74905">
        <w:rPr>
          <w:rFonts w:eastAsia="Calibri"/>
          <w:sz w:val="22"/>
          <w:lang w:val="pl-PL"/>
        </w:rPr>
        <w:t>przetoka tętniczo-żylna z naczyń własnych chorego</w:t>
      </w:r>
    </w:p>
    <w:p w14:paraId="5FB2298A" w14:textId="77777777" w:rsidR="00411D8A" w:rsidRPr="00C74905" w:rsidRDefault="00C74905" w:rsidP="00F84B72">
      <w:pPr>
        <w:pStyle w:val="EYBulletedList1"/>
        <w:numPr>
          <w:ilvl w:val="0"/>
          <w:numId w:val="11"/>
        </w:numPr>
        <w:ind w:left="289" w:hanging="289"/>
        <w:jc w:val="both"/>
        <w:rPr>
          <w:rFonts w:eastAsia="Calibri"/>
          <w:sz w:val="22"/>
          <w:lang w:val="pl-PL"/>
        </w:rPr>
      </w:pPr>
      <w:r w:rsidRPr="00C74905">
        <w:rPr>
          <w:rFonts w:eastAsia="Calibri"/>
          <w:sz w:val="22"/>
          <w:lang w:val="pl-PL"/>
        </w:rPr>
        <w:t>przetoka tętniczo-żylna z naczyń sztucznych</w:t>
      </w:r>
      <w:r w:rsidR="00B8082D">
        <w:rPr>
          <w:rFonts w:eastAsia="Calibri"/>
          <w:sz w:val="22"/>
          <w:lang w:val="pl-PL"/>
        </w:rPr>
        <w:t xml:space="preserve"> lub biologicznych</w:t>
      </w:r>
    </w:p>
    <w:p w14:paraId="50F070DE" w14:textId="77777777" w:rsidR="00411D8A" w:rsidRDefault="00C74905" w:rsidP="00F84B72">
      <w:pPr>
        <w:pStyle w:val="EYBulletedList1"/>
        <w:numPr>
          <w:ilvl w:val="0"/>
          <w:numId w:val="11"/>
        </w:numPr>
        <w:ind w:left="289" w:hanging="289"/>
        <w:jc w:val="both"/>
        <w:rPr>
          <w:rFonts w:eastAsia="Calibri"/>
          <w:sz w:val="22"/>
          <w:lang w:val="pl-PL"/>
        </w:rPr>
      </w:pPr>
      <w:r w:rsidRPr="00C74905">
        <w:rPr>
          <w:rFonts w:eastAsia="Calibri"/>
          <w:sz w:val="22"/>
          <w:lang w:val="pl-PL"/>
        </w:rPr>
        <w:t>stały cewnik do hemodializ</w:t>
      </w:r>
    </w:p>
    <w:p w14:paraId="3326D768" w14:textId="77777777" w:rsidR="00C74905" w:rsidRPr="00C74905" w:rsidRDefault="00C74905" w:rsidP="00F84B72">
      <w:pPr>
        <w:pStyle w:val="EYBulletedList1"/>
        <w:numPr>
          <w:ilvl w:val="0"/>
          <w:numId w:val="11"/>
        </w:numPr>
        <w:ind w:left="289" w:hanging="289"/>
        <w:jc w:val="both"/>
        <w:rPr>
          <w:rFonts w:eastAsia="Calibri"/>
          <w:sz w:val="22"/>
          <w:lang w:val="pl-PL"/>
        </w:rPr>
      </w:pPr>
      <w:r>
        <w:rPr>
          <w:rFonts w:eastAsia="Calibri"/>
          <w:sz w:val="22"/>
          <w:lang w:val="pl-PL"/>
        </w:rPr>
        <w:t>czasowy cewnik do hemodializ</w:t>
      </w:r>
    </w:p>
    <w:p w14:paraId="742273B0" w14:textId="356E436E" w:rsidR="00C74905" w:rsidRPr="002A2DDD" w:rsidRDefault="00A6366B" w:rsidP="007B46C2">
      <w:pPr>
        <w:rPr>
          <w:rFonts w:eastAsia="Calibri"/>
          <w:lang w:val="pl-PL"/>
        </w:rPr>
      </w:pPr>
      <w:r>
        <w:rPr>
          <w:rFonts w:eastAsia="Calibri"/>
          <w:lang w:val="pl-PL"/>
        </w:rPr>
        <w:t xml:space="preserve">Standardowo pacjenci są hemodializowani </w:t>
      </w:r>
      <w:r w:rsidR="00083D14">
        <w:rPr>
          <w:rFonts w:eastAsia="Calibri"/>
          <w:lang w:val="pl-PL"/>
        </w:rPr>
        <w:t xml:space="preserve">w </w:t>
      </w:r>
      <w:r>
        <w:rPr>
          <w:rFonts w:eastAsia="Calibri"/>
          <w:lang w:val="pl-PL"/>
        </w:rPr>
        <w:t>stacjach dializ 3 razy w tygodniu (co drugi dzień) po 4 godziny w sesjach porannych, popołudniowych</w:t>
      </w:r>
      <w:r w:rsidR="00B8082D">
        <w:rPr>
          <w:rFonts w:eastAsia="Calibri"/>
          <w:lang w:val="pl-PL"/>
        </w:rPr>
        <w:t>,</w:t>
      </w:r>
      <w:r>
        <w:rPr>
          <w:rFonts w:eastAsia="Calibri"/>
          <w:lang w:val="pl-PL"/>
        </w:rPr>
        <w:t xml:space="preserve"> wieczornych</w:t>
      </w:r>
      <w:r w:rsidR="00B8082D">
        <w:rPr>
          <w:rFonts w:eastAsia="Calibri"/>
          <w:lang w:val="pl-PL"/>
        </w:rPr>
        <w:t xml:space="preserve"> lub nocnych, a w koniecznych przypadkach częstość lub czas zabiegu może zostać zwiększony</w:t>
      </w:r>
      <w:r>
        <w:rPr>
          <w:rFonts w:eastAsia="Calibri"/>
          <w:lang w:val="pl-PL"/>
        </w:rPr>
        <w:t>.</w:t>
      </w:r>
      <w:r w:rsidR="00116BDB">
        <w:rPr>
          <w:rFonts w:eastAsia="Calibri"/>
          <w:lang w:val="pl-PL"/>
        </w:rPr>
        <w:t xml:space="preserve"> </w:t>
      </w:r>
      <w:r w:rsidR="00955539">
        <w:rPr>
          <w:rFonts w:eastAsia="Calibri"/>
          <w:lang w:val="pl-PL"/>
        </w:rPr>
        <w:t xml:space="preserve">Hemodializa wydłuża życie pacjentów z </w:t>
      </w:r>
      <w:proofErr w:type="spellStart"/>
      <w:r w:rsidR="00955539">
        <w:rPr>
          <w:rFonts w:eastAsia="Calibri"/>
          <w:lang w:val="pl-PL"/>
        </w:rPr>
        <w:t>PChN</w:t>
      </w:r>
      <w:proofErr w:type="spellEnd"/>
      <w:r w:rsidR="00955539">
        <w:rPr>
          <w:rFonts w:eastAsia="Calibri"/>
          <w:lang w:val="pl-PL"/>
        </w:rPr>
        <w:t xml:space="preserve">, natomiast jako metoda leczenia pozwala jedynie na wyrównanie podstawowych zaburzeń homeostatycznych, nie hamując tym samym wszystkich następstw </w:t>
      </w:r>
      <w:proofErr w:type="spellStart"/>
      <w:r w:rsidR="00955539">
        <w:rPr>
          <w:rFonts w:eastAsia="Calibri"/>
          <w:lang w:val="pl-PL"/>
        </w:rPr>
        <w:t>PChN</w:t>
      </w:r>
      <w:proofErr w:type="spellEnd"/>
      <w:r w:rsidR="00955539">
        <w:rPr>
          <w:rFonts w:eastAsia="Calibri"/>
          <w:lang w:val="pl-PL"/>
        </w:rPr>
        <w:t xml:space="preserve">. Do częstych powikłań hemodializoterapii należą hipotensja, </w:t>
      </w:r>
      <w:proofErr w:type="spellStart"/>
      <w:r w:rsidR="00955539">
        <w:rPr>
          <w:rFonts w:eastAsia="Calibri"/>
          <w:lang w:val="pl-PL"/>
        </w:rPr>
        <w:t>kurcze</w:t>
      </w:r>
      <w:proofErr w:type="spellEnd"/>
      <w:r w:rsidR="00955539">
        <w:rPr>
          <w:rFonts w:eastAsia="Calibri"/>
          <w:lang w:val="pl-PL"/>
        </w:rPr>
        <w:t xml:space="preserve"> mięśni, bóle głowy i świąd skóry</w:t>
      </w:r>
      <w:r w:rsidR="00116BDB" w:rsidRPr="00411D8A">
        <w:rPr>
          <w:rStyle w:val="Odwoanieprzypisudolnego"/>
          <w:rFonts w:eastAsia="Calibri"/>
          <w:sz w:val="22"/>
          <w:lang w:val="pl-PL"/>
        </w:rPr>
        <w:footnoteReference w:id="46"/>
      </w:r>
      <w:r w:rsidR="00955539">
        <w:rPr>
          <w:rFonts w:eastAsia="Calibri"/>
          <w:lang w:val="pl-PL"/>
        </w:rPr>
        <w:t xml:space="preserve">. </w:t>
      </w:r>
    </w:p>
    <w:p w14:paraId="68BD2F01" w14:textId="77777777" w:rsidR="007B46C2" w:rsidRPr="009D74F7" w:rsidRDefault="00000EF5" w:rsidP="007B46C2">
      <w:pPr>
        <w:pStyle w:val="EYHeading4"/>
        <w:rPr>
          <w:rFonts w:eastAsia="Calibri"/>
          <w:color w:val="000000" w:themeColor="text1"/>
          <w:lang w:val="pl-PL"/>
        </w:rPr>
      </w:pPr>
      <w:bookmarkStart w:id="75" w:name="_Toc486537918"/>
      <w:r w:rsidRPr="009D74F7">
        <w:rPr>
          <w:rFonts w:eastAsia="Calibri"/>
          <w:color w:val="000000" w:themeColor="text1"/>
          <w:lang w:val="pl-PL"/>
        </w:rPr>
        <w:lastRenderedPageBreak/>
        <w:t>Dializa otrzewnowa</w:t>
      </w:r>
      <w:bookmarkEnd w:id="75"/>
    </w:p>
    <w:p w14:paraId="3CC1342C" w14:textId="1F681ACC" w:rsidR="007B46C2" w:rsidRDefault="00266F8D" w:rsidP="007B46C2">
      <w:pPr>
        <w:rPr>
          <w:rFonts w:eastAsia="Calibri"/>
          <w:lang w:val="pl-PL"/>
        </w:rPr>
      </w:pPr>
      <w:r>
        <w:rPr>
          <w:rFonts w:eastAsia="Calibri"/>
          <w:lang w:val="pl-PL"/>
        </w:rPr>
        <w:t xml:space="preserve">Dializa otrzewnowa (DO) polega na </w:t>
      </w:r>
      <w:r w:rsidR="00B8082D">
        <w:rPr>
          <w:rFonts w:eastAsia="Calibri"/>
          <w:lang w:val="pl-PL"/>
        </w:rPr>
        <w:t xml:space="preserve">usuwaniu </w:t>
      </w:r>
      <w:r w:rsidR="009B5BBD">
        <w:rPr>
          <w:rFonts w:eastAsia="Calibri"/>
          <w:lang w:val="pl-PL"/>
        </w:rPr>
        <w:t>toksyn mocznicowych</w:t>
      </w:r>
      <w:r w:rsidR="00B8082D">
        <w:rPr>
          <w:rFonts w:eastAsia="Calibri"/>
          <w:lang w:val="pl-PL"/>
        </w:rPr>
        <w:t xml:space="preserve"> w procesie ich transportu</w:t>
      </w:r>
      <w:r w:rsidR="009B5BBD">
        <w:rPr>
          <w:rFonts w:eastAsia="Calibri"/>
          <w:lang w:val="pl-PL"/>
        </w:rPr>
        <w:t xml:space="preserve"> przez warstwy błony otrzewnowej oddzielającej środowisko sieci naczyń krwionośnych </w:t>
      </w:r>
      <w:r w:rsidR="00FD4BE7">
        <w:rPr>
          <w:rFonts w:eastAsia="Calibri"/>
          <w:lang w:val="pl-PL"/>
        </w:rPr>
        <w:t xml:space="preserve">jamy </w:t>
      </w:r>
      <w:r w:rsidR="009B5BBD">
        <w:rPr>
          <w:rFonts w:eastAsia="Calibri"/>
          <w:lang w:val="pl-PL"/>
        </w:rPr>
        <w:t xml:space="preserve">otrzewnowej od roztworu elektrolitowego płynu dializacyjnego znajdującego się w jamie otrzewnej. Transport </w:t>
      </w:r>
      <w:proofErr w:type="spellStart"/>
      <w:r w:rsidR="009B5BBD">
        <w:rPr>
          <w:rFonts w:eastAsia="Calibri"/>
          <w:lang w:val="pl-PL"/>
        </w:rPr>
        <w:t>przezotrzewnowy</w:t>
      </w:r>
      <w:proofErr w:type="spellEnd"/>
      <w:r w:rsidR="009B5BBD">
        <w:rPr>
          <w:rFonts w:eastAsia="Calibri"/>
          <w:lang w:val="pl-PL"/>
        </w:rPr>
        <w:t xml:space="preserve"> odbywa się głównie dzięki dyfuzji zależnej od gradientu stężeń po obu strona</w:t>
      </w:r>
      <w:r w:rsidR="00E5721C">
        <w:rPr>
          <w:rFonts w:eastAsia="Calibri"/>
          <w:lang w:val="pl-PL"/>
        </w:rPr>
        <w:t>ch</w:t>
      </w:r>
      <w:r w:rsidR="009B5BBD">
        <w:rPr>
          <w:rFonts w:eastAsia="Calibri"/>
          <w:lang w:val="pl-PL"/>
        </w:rPr>
        <w:t xml:space="preserve"> błony otrzewnowej</w:t>
      </w:r>
      <w:r w:rsidR="00AA5059">
        <w:rPr>
          <w:rFonts w:eastAsia="Calibri"/>
          <w:lang w:val="pl-PL"/>
        </w:rPr>
        <w:t>, masy cząsteczkowej usuwanej substancji oraz oporu naczyń otrzewnej (grubości błony). Na drodze dyfuzji m.in. potasu, magnezu i wapnia dochodzi do regulacji równowagi elektrolitowej, a regulacja równowagi kwasowo-zasadowej polega na zastosowaniu mleczanów. Usuwanie wody odbywa się przez ultrafiltrację osmotyczną wywołaną m.in. obecnością glukozy w płynie dializacyjnym. Do przeprowadzenia dializy otrzewnowej niezbędn</w:t>
      </w:r>
      <w:r w:rsidR="00E5721C">
        <w:rPr>
          <w:rFonts w:eastAsia="Calibri"/>
          <w:lang w:val="pl-PL"/>
        </w:rPr>
        <w:t xml:space="preserve">e są pojemnik z płynem dializacyjnym, dreny i </w:t>
      </w:r>
      <w:proofErr w:type="spellStart"/>
      <w:r w:rsidR="00E5721C">
        <w:rPr>
          <w:rFonts w:eastAsia="Calibri"/>
          <w:lang w:val="pl-PL"/>
        </w:rPr>
        <w:t>cykler</w:t>
      </w:r>
      <w:proofErr w:type="spellEnd"/>
      <w:r w:rsidR="00E5721C">
        <w:rPr>
          <w:rFonts w:eastAsia="Calibri"/>
          <w:lang w:val="pl-PL"/>
        </w:rPr>
        <w:t xml:space="preserve"> (</w:t>
      </w:r>
      <w:r w:rsidR="00B8082D">
        <w:rPr>
          <w:rFonts w:eastAsia="Calibri"/>
          <w:lang w:val="pl-PL"/>
        </w:rPr>
        <w:t>w przypadku stosowania automatycznej dializy otrzewnowej</w:t>
      </w:r>
      <w:r w:rsidR="00E5721C">
        <w:rPr>
          <w:rFonts w:eastAsia="Calibri"/>
          <w:lang w:val="pl-PL"/>
        </w:rPr>
        <w:t>).</w:t>
      </w:r>
      <w:r w:rsidR="00E5721C" w:rsidRPr="00E5721C">
        <w:rPr>
          <w:rFonts w:eastAsia="Calibri"/>
          <w:lang w:val="pl-PL"/>
        </w:rPr>
        <w:t xml:space="preserve"> </w:t>
      </w:r>
      <w:r w:rsidR="00E5721C">
        <w:rPr>
          <w:rFonts w:eastAsia="Calibri"/>
          <w:lang w:val="pl-PL"/>
        </w:rPr>
        <w:t xml:space="preserve">Pacjent dializowany otrzewnowo wymaga wszczepienia cewnika otrzewnowego. </w:t>
      </w:r>
      <w:r w:rsidR="009B5BBD">
        <w:rPr>
          <w:rFonts w:eastAsia="Calibri"/>
          <w:lang w:val="pl-PL"/>
        </w:rPr>
        <w:t>Płyn dializacyjny o odpowiednim ładunku osmotycznym jest wprowadzany</w:t>
      </w:r>
      <w:r w:rsidR="00E5721C">
        <w:rPr>
          <w:rFonts w:eastAsia="Calibri"/>
          <w:lang w:val="pl-PL"/>
        </w:rPr>
        <w:t xml:space="preserve"> do i </w:t>
      </w:r>
      <w:r w:rsidR="009B5BBD">
        <w:rPr>
          <w:rFonts w:eastAsia="Calibri"/>
          <w:lang w:val="pl-PL"/>
        </w:rPr>
        <w:t xml:space="preserve">usuwany z jamy otrzewnowej przez </w:t>
      </w:r>
      <w:r w:rsidR="00E5721C">
        <w:rPr>
          <w:rFonts w:eastAsia="Calibri"/>
          <w:lang w:val="pl-PL"/>
        </w:rPr>
        <w:t xml:space="preserve">założony </w:t>
      </w:r>
      <w:r w:rsidR="009B5BBD">
        <w:rPr>
          <w:rFonts w:eastAsia="Calibri"/>
          <w:lang w:val="pl-PL"/>
        </w:rPr>
        <w:t>cewnik.</w:t>
      </w:r>
      <w:r w:rsidR="00E5721C">
        <w:rPr>
          <w:rFonts w:eastAsia="Calibri"/>
          <w:lang w:val="pl-PL"/>
        </w:rPr>
        <w:t xml:space="preserve"> Dializę otrzewnową przeprowadza się techniką przerywaną bądź ciągłą (łączny czas bez płynu dializacyjnego w jamie otrzewnowej wynosi mniej niż 2-4 godziny w ciągu doby).</w:t>
      </w:r>
      <w:r w:rsidR="00B23DBD">
        <w:rPr>
          <w:rFonts w:eastAsia="Calibri"/>
          <w:lang w:val="pl-PL"/>
        </w:rPr>
        <w:t xml:space="preserve"> Po opracowaniu programu leczenia</w:t>
      </w:r>
      <w:r w:rsidR="00B8082D">
        <w:rPr>
          <w:rFonts w:eastAsia="Calibri"/>
          <w:lang w:val="pl-PL"/>
        </w:rPr>
        <w:t xml:space="preserve"> i wyszkoleniu pacjenta i/lub osób opiekujących się chorym</w:t>
      </w:r>
      <w:r w:rsidR="00B23DBD">
        <w:rPr>
          <w:rFonts w:eastAsia="Calibri"/>
          <w:lang w:val="pl-PL"/>
        </w:rPr>
        <w:t>, dializa otrzewnowa odbywa się w warunkach domowych, przy czym chory pozostaje pod stałą opieką ośrodka nadzorującego leczeni</w:t>
      </w:r>
      <w:r w:rsidR="00B8082D">
        <w:rPr>
          <w:rFonts w:eastAsia="Calibri"/>
          <w:lang w:val="pl-PL"/>
        </w:rPr>
        <w:t>e</w:t>
      </w:r>
      <w:r w:rsidR="00B63DCC" w:rsidRPr="00B63DCC">
        <w:rPr>
          <w:rStyle w:val="Odwoanieprzypisudolnego"/>
          <w:rFonts w:eastAsia="Calibri"/>
          <w:sz w:val="22"/>
          <w:lang w:val="pl-PL"/>
        </w:rPr>
        <w:footnoteReference w:id="47"/>
      </w:r>
      <w:r w:rsidR="00B23DBD">
        <w:rPr>
          <w:rFonts w:eastAsia="Calibri"/>
          <w:lang w:val="pl-PL"/>
        </w:rPr>
        <w:t>.</w:t>
      </w:r>
    </w:p>
    <w:p w14:paraId="5AFB4AA8" w14:textId="39B1E0B1" w:rsidR="00B23DBD" w:rsidRPr="002A2DDD" w:rsidRDefault="00B23DBD" w:rsidP="007B46C2">
      <w:pPr>
        <w:rPr>
          <w:rFonts w:eastAsia="Calibri"/>
          <w:lang w:val="pl-PL"/>
        </w:rPr>
      </w:pPr>
      <w:r>
        <w:rPr>
          <w:rFonts w:eastAsia="Calibri"/>
          <w:lang w:val="pl-PL"/>
        </w:rPr>
        <w:t>Dializa otrzewnowa</w:t>
      </w:r>
      <w:r w:rsidR="00B63123">
        <w:rPr>
          <w:rFonts w:eastAsia="Calibri"/>
          <w:lang w:val="pl-PL"/>
        </w:rPr>
        <w:t xml:space="preserve"> wymaga dużego zaangażowania pacjenta i umiejętności samoopieki. Oznacza to, że pacjenci niesamodzielni i niedołężni (często osoby starsze) nie kwalifikują się do dializoterapii otrzewnowej</w:t>
      </w:r>
      <w:r w:rsidR="00B63DCC">
        <w:rPr>
          <w:rFonts w:eastAsia="Calibri"/>
          <w:lang w:val="pl-PL"/>
        </w:rPr>
        <w:t xml:space="preserve"> bądź z czasem pojawiają się wskazania do przejścia z dializy otrzewnowej do leczenia hemodializami (lub przeszczepienia). Do powikłań dializoterapii otrzewnowej należą m.in. zaburzenia </w:t>
      </w:r>
      <w:proofErr w:type="spellStart"/>
      <w:r w:rsidR="00B63DCC">
        <w:rPr>
          <w:rFonts w:eastAsia="Calibri"/>
          <w:lang w:val="pl-PL"/>
        </w:rPr>
        <w:t>wolemii</w:t>
      </w:r>
      <w:proofErr w:type="spellEnd"/>
      <w:r w:rsidR="00B63DCC">
        <w:rPr>
          <w:rFonts w:eastAsia="Calibri"/>
          <w:lang w:val="pl-PL"/>
        </w:rPr>
        <w:t xml:space="preserve">, </w:t>
      </w:r>
      <w:proofErr w:type="spellStart"/>
      <w:r w:rsidR="00B63DCC">
        <w:rPr>
          <w:rFonts w:eastAsia="Calibri"/>
          <w:lang w:val="pl-PL"/>
        </w:rPr>
        <w:t>hipokalemia</w:t>
      </w:r>
      <w:proofErr w:type="spellEnd"/>
      <w:r w:rsidR="00B63DCC">
        <w:rPr>
          <w:rFonts w:eastAsia="Calibri"/>
          <w:lang w:val="pl-PL"/>
        </w:rPr>
        <w:t xml:space="preserve">, zakażenia </w:t>
      </w:r>
      <w:r w:rsidR="00083D14">
        <w:rPr>
          <w:rFonts w:eastAsia="Calibri"/>
          <w:lang w:val="pl-PL"/>
        </w:rPr>
        <w:t xml:space="preserve">ujścia zewnętrznego </w:t>
      </w:r>
      <w:r w:rsidR="00B63DCC">
        <w:rPr>
          <w:rFonts w:eastAsia="Calibri"/>
          <w:lang w:val="pl-PL"/>
        </w:rPr>
        <w:t xml:space="preserve">cewnika otrzewnowego, dializacyjne zapalenie otrzewnej, nieadekwatna ultrafiltracja, zaburzenia związane ze zwiększonym ciśnieniem wewnątrzbrzusznym (przepukliny, refluks, zacieki płynu dializacyjnego, bóle </w:t>
      </w:r>
      <w:r w:rsidR="00B8082D">
        <w:rPr>
          <w:rFonts w:eastAsia="Calibri"/>
          <w:lang w:val="pl-PL"/>
        </w:rPr>
        <w:t xml:space="preserve">okolicy </w:t>
      </w:r>
      <w:r w:rsidR="00B63DCC">
        <w:rPr>
          <w:rFonts w:eastAsia="Calibri"/>
          <w:lang w:val="pl-PL"/>
        </w:rPr>
        <w:t>krzyż</w:t>
      </w:r>
      <w:r w:rsidR="00BF6B0F">
        <w:rPr>
          <w:rFonts w:eastAsia="Calibri"/>
          <w:lang w:val="pl-PL"/>
        </w:rPr>
        <w:t>owo-lędźwiowej</w:t>
      </w:r>
      <w:r w:rsidR="00B63DCC">
        <w:rPr>
          <w:rFonts w:eastAsia="Calibri"/>
          <w:lang w:val="pl-PL"/>
        </w:rPr>
        <w:t>), krwawienie oraz wysięki chłonne w jamie otrzewnowej</w:t>
      </w:r>
      <w:r w:rsidR="00B63DCC" w:rsidRPr="00B63DCC">
        <w:rPr>
          <w:rStyle w:val="Odwoanieprzypisudolnego"/>
          <w:rFonts w:eastAsia="Calibri"/>
          <w:sz w:val="22"/>
          <w:lang w:val="pl-PL"/>
        </w:rPr>
        <w:footnoteReference w:id="48"/>
      </w:r>
      <w:r w:rsidR="00B63DCC">
        <w:rPr>
          <w:rFonts w:eastAsia="Calibri"/>
          <w:lang w:val="pl-PL"/>
        </w:rPr>
        <w:t>.</w:t>
      </w:r>
    </w:p>
    <w:p w14:paraId="756C0497" w14:textId="77777777" w:rsidR="00000EF5" w:rsidRPr="009D74F7" w:rsidRDefault="00000EF5" w:rsidP="00000EF5">
      <w:pPr>
        <w:pStyle w:val="EYHeading4"/>
        <w:rPr>
          <w:rFonts w:eastAsia="Calibri"/>
          <w:color w:val="000000" w:themeColor="text1"/>
          <w:lang w:val="pl-PL"/>
        </w:rPr>
      </w:pPr>
      <w:bookmarkStart w:id="76" w:name="_Toc486537919"/>
      <w:r w:rsidRPr="009D74F7">
        <w:rPr>
          <w:rFonts w:eastAsia="Calibri"/>
          <w:color w:val="000000" w:themeColor="text1"/>
          <w:lang w:val="pl-PL"/>
        </w:rPr>
        <w:t>Hemodiafiltracja</w:t>
      </w:r>
      <w:bookmarkEnd w:id="76"/>
    </w:p>
    <w:p w14:paraId="4BF914D5" w14:textId="4A7C74D1" w:rsidR="005F2322" w:rsidRPr="00CA7BEC" w:rsidRDefault="005F2322" w:rsidP="005F2322">
      <w:pPr>
        <w:rPr>
          <w:rFonts w:eastAsia="Calibri"/>
          <w:lang w:val="pl-PL"/>
        </w:rPr>
      </w:pPr>
      <w:r w:rsidRPr="00CA7BEC">
        <w:rPr>
          <w:rFonts w:eastAsia="Calibri"/>
          <w:lang w:val="pl-PL"/>
        </w:rPr>
        <w:t>Hemodiafiltracja</w:t>
      </w:r>
      <w:r>
        <w:rPr>
          <w:rFonts w:eastAsia="Calibri"/>
          <w:lang w:val="pl-PL"/>
        </w:rPr>
        <w:t>, jako modyfikacja i alternatywa standardowej hemodializy,</w:t>
      </w:r>
      <w:r w:rsidRPr="00CA7BEC">
        <w:rPr>
          <w:rFonts w:eastAsia="Calibri"/>
          <w:lang w:val="pl-PL"/>
        </w:rPr>
        <w:t xml:space="preserve"> </w:t>
      </w:r>
      <w:r>
        <w:rPr>
          <w:rFonts w:eastAsia="Calibri"/>
          <w:lang w:val="pl-PL"/>
        </w:rPr>
        <w:t xml:space="preserve">jest metodą </w:t>
      </w:r>
      <w:r w:rsidR="00BF6B0F">
        <w:rPr>
          <w:rFonts w:eastAsia="Calibri"/>
          <w:lang w:val="pl-PL"/>
        </w:rPr>
        <w:t>poza</w:t>
      </w:r>
      <w:r>
        <w:rPr>
          <w:rFonts w:eastAsia="Calibri"/>
          <w:lang w:val="pl-PL"/>
        </w:rPr>
        <w:t>ustrojowego oczyszczania krwi. Jest to wysokowydajna technika</w:t>
      </w:r>
      <w:r w:rsidRPr="00CA7BEC">
        <w:rPr>
          <w:rFonts w:eastAsia="Calibri"/>
          <w:lang w:val="pl-PL"/>
        </w:rPr>
        <w:t xml:space="preserve">, w której szczególnie istotne jest wykorzystanie prawa różnicy ciśnień </w:t>
      </w:r>
      <w:r w:rsidR="00BF6B0F">
        <w:rPr>
          <w:rFonts w:eastAsia="Calibri"/>
          <w:lang w:val="pl-PL"/>
        </w:rPr>
        <w:t xml:space="preserve">związanego ze zjawiskiem ultrafiltracji  prowadzącym do </w:t>
      </w:r>
      <w:r w:rsidRPr="00CA7BEC">
        <w:rPr>
          <w:rFonts w:eastAsia="Calibri"/>
          <w:lang w:val="pl-PL"/>
        </w:rPr>
        <w:t>usuwania nadmiaru wody</w:t>
      </w:r>
      <w:r w:rsidRPr="00573981">
        <w:rPr>
          <w:rStyle w:val="Odwoanieprzypisudolnego"/>
          <w:rFonts w:eastAsia="Calibri"/>
          <w:sz w:val="22"/>
          <w:lang w:val="pl-PL"/>
        </w:rPr>
        <w:footnoteReference w:id="49"/>
      </w:r>
      <w:r w:rsidRPr="00CA7BEC">
        <w:rPr>
          <w:rFonts w:eastAsia="Calibri"/>
          <w:lang w:val="pl-PL"/>
        </w:rPr>
        <w:t>.</w:t>
      </w:r>
      <w:r w:rsidRPr="00EE32B7">
        <w:rPr>
          <w:rFonts w:eastAsia="Calibri"/>
          <w:lang w:val="pl-PL"/>
        </w:rPr>
        <w:t xml:space="preserve"> </w:t>
      </w:r>
      <w:r>
        <w:rPr>
          <w:rFonts w:eastAsia="Calibri"/>
          <w:lang w:val="pl-PL"/>
        </w:rPr>
        <w:t xml:space="preserve">Początkowo </w:t>
      </w:r>
      <w:proofErr w:type="spellStart"/>
      <w:r>
        <w:rPr>
          <w:rFonts w:eastAsia="Calibri"/>
          <w:lang w:val="pl-PL"/>
        </w:rPr>
        <w:t>hemodiafiltrację</w:t>
      </w:r>
      <w:proofErr w:type="spellEnd"/>
      <w:r>
        <w:rPr>
          <w:rFonts w:eastAsia="Calibri"/>
          <w:lang w:val="pl-PL"/>
        </w:rPr>
        <w:t xml:space="preserve"> wykorzystywano przede wszystkim </w:t>
      </w:r>
      <w:r w:rsidRPr="00EE32B7">
        <w:rPr>
          <w:rFonts w:eastAsia="Calibri"/>
          <w:lang w:val="pl-PL"/>
        </w:rPr>
        <w:t xml:space="preserve">w </w:t>
      </w:r>
      <w:proofErr w:type="spellStart"/>
      <w:r w:rsidRPr="00EE32B7">
        <w:rPr>
          <w:rFonts w:eastAsia="Calibri"/>
          <w:lang w:val="pl-PL"/>
        </w:rPr>
        <w:t>hiperkatabolicznych</w:t>
      </w:r>
      <w:proofErr w:type="spellEnd"/>
      <w:r>
        <w:rPr>
          <w:rFonts w:eastAsia="Calibri"/>
          <w:lang w:val="pl-PL"/>
        </w:rPr>
        <w:t xml:space="preserve"> </w:t>
      </w:r>
      <w:r w:rsidRPr="00EE32B7">
        <w:rPr>
          <w:rFonts w:eastAsia="Calibri"/>
          <w:lang w:val="pl-PL"/>
        </w:rPr>
        <w:t xml:space="preserve">postaciach ostrej niewydolności nerek, </w:t>
      </w:r>
      <w:r>
        <w:rPr>
          <w:rFonts w:eastAsia="Calibri"/>
          <w:lang w:val="pl-PL"/>
        </w:rPr>
        <w:t xml:space="preserve">natomiast obecnie ta metoda jest coraz częściej </w:t>
      </w:r>
      <w:r w:rsidR="00BF6B0F">
        <w:rPr>
          <w:rFonts w:eastAsia="Calibri"/>
          <w:lang w:val="pl-PL"/>
        </w:rPr>
        <w:t xml:space="preserve">stosowana </w:t>
      </w:r>
      <w:r>
        <w:rPr>
          <w:rFonts w:eastAsia="Calibri"/>
          <w:lang w:val="pl-PL"/>
        </w:rPr>
        <w:t xml:space="preserve">również w leczeniu przewlekłej </w:t>
      </w:r>
      <w:r w:rsidRPr="00EE32B7">
        <w:rPr>
          <w:rFonts w:eastAsia="Calibri"/>
          <w:lang w:val="pl-PL"/>
        </w:rPr>
        <w:t>niewydolności nerek</w:t>
      </w:r>
      <w:r>
        <w:rPr>
          <w:rFonts w:eastAsia="Calibri"/>
          <w:lang w:val="pl-PL"/>
        </w:rPr>
        <w:t>.</w:t>
      </w:r>
    </w:p>
    <w:p w14:paraId="2DA11283" w14:textId="3C962E19" w:rsidR="00CD2203" w:rsidRPr="00E57FF5" w:rsidRDefault="00D02C22" w:rsidP="00CD2203">
      <w:pPr>
        <w:rPr>
          <w:rFonts w:eastAsia="Calibri"/>
          <w:color w:val="000000" w:themeColor="text1"/>
          <w:lang w:val="pl-PL"/>
        </w:rPr>
      </w:pPr>
      <w:r w:rsidRPr="00AE7042">
        <w:rPr>
          <w:rFonts w:eastAsia="Calibri"/>
          <w:color w:val="000000" w:themeColor="text1"/>
          <w:lang w:val="pl-PL"/>
        </w:rPr>
        <w:t xml:space="preserve">W porównaniu ze standardową hemodializą, podczas </w:t>
      </w:r>
      <w:proofErr w:type="spellStart"/>
      <w:r w:rsidRPr="00AE7042">
        <w:rPr>
          <w:rFonts w:eastAsia="Calibri"/>
          <w:color w:val="000000" w:themeColor="text1"/>
          <w:lang w:val="pl-PL"/>
        </w:rPr>
        <w:t>hemodiafiltracji</w:t>
      </w:r>
      <w:proofErr w:type="spellEnd"/>
      <w:r w:rsidRPr="00AE7042">
        <w:rPr>
          <w:rFonts w:eastAsia="Calibri"/>
          <w:color w:val="000000" w:themeColor="text1"/>
          <w:lang w:val="pl-PL"/>
        </w:rPr>
        <w:t xml:space="preserve"> obserwuje się większą skuteczność dializy u pacjentów, np. poprzez lepsze usuwanie średnich drobin, co wiąże się również z częściowym ustępowaniem objawów mocznicowych oraz poprawą samopoczucia. Hemodiafiltracja pozwala również na skuteczniejsze usuwanie fosforanów, lepszą korektę anemii i stabilność </w:t>
      </w:r>
      <w:r w:rsidRPr="00AE7042">
        <w:rPr>
          <w:rFonts w:eastAsia="Calibri"/>
          <w:color w:val="000000" w:themeColor="text1"/>
          <w:lang w:val="pl-PL"/>
        </w:rPr>
        <w:lastRenderedPageBreak/>
        <w:t xml:space="preserve">hemodynamiczną. Poprawia się stan odżywienia chorego i profil lipidowy, obniżeniu ulega stężenie markerów zapalnych oraz stres oksydacyjny. Co więcej, poprawia się </w:t>
      </w:r>
      <w:r w:rsidRPr="00CD2203">
        <w:rPr>
          <w:rFonts w:eastAsia="Calibri"/>
          <w:color w:val="000000" w:themeColor="text1"/>
          <w:lang w:val="pl-PL"/>
        </w:rPr>
        <w:t xml:space="preserve">również przeżywalność chorych przy zastosowaniu </w:t>
      </w:r>
      <w:proofErr w:type="spellStart"/>
      <w:r w:rsidRPr="00CD2203">
        <w:rPr>
          <w:rFonts w:eastAsia="Calibri"/>
          <w:color w:val="000000" w:themeColor="text1"/>
          <w:lang w:val="pl-PL"/>
        </w:rPr>
        <w:t>hemodiafiltracji</w:t>
      </w:r>
      <w:proofErr w:type="spellEnd"/>
      <w:r w:rsidRPr="00CD2203">
        <w:rPr>
          <w:rStyle w:val="Odwoanieprzypisudolnego"/>
          <w:rFonts w:eastAsia="Calibri"/>
          <w:color w:val="000000" w:themeColor="text1"/>
          <w:sz w:val="22"/>
          <w:lang w:val="pl-PL"/>
        </w:rPr>
        <w:footnoteReference w:id="50"/>
      </w:r>
      <w:r w:rsidRPr="00CD2203">
        <w:rPr>
          <w:rFonts w:eastAsia="Calibri"/>
          <w:color w:val="000000" w:themeColor="text1"/>
          <w:lang w:val="pl-PL"/>
        </w:rPr>
        <w:t>.</w:t>
      </w:r>
      <w:r w:rsidR="00E57FF5">
        <w:rPr>
          <w:rFonts w:eastAsia="Calibri"/>
          <w:color w:val="000000" w:themeColor="text1"/>
          <w:lang w:val="pl-PL"/>
        </w:rPr>
        <w:t xml:space="preserve"> </w:t>
      </w:r>
      <w:r w:rsidR="005F2322" w:rsidRPr="00060165">
        <w:rPr>
          <w:rFonts w:eastAsia="Calibri"/>
          <w:color w:val="000000" w:themeColor="text1"/>
          <w:lang w:val="pl-PL"/>
        </w:rPr>
        <w:t xml:space="preserve">Aktualnie, mimo pozytywnej  rekomendacji Prezesa Agencji Oceny Technologii Medycznych i Taryfikacji w sprawie zakwalifikowania </w:t>
      </w:r>
      <w:proofErr w:type="spellStart"/>
      <w:r w:rsidR="005F2322" w:rsidRPr="00060165">
        <w:rPr>
          <w:rFonts w:eastAsia="Calibri"/>
          <w:color w:val="000000" w:themeColor="text1"/>
          <w:lang w:val="pl-PL"/>
        </w:rPr>
        <w:t>hemodiafiltracji</w:t>
      </w:r>
      <w:proofErr w:type="spellEnd"/>
      <w:r w:rsidR="005F2322" w:rsidRPr="00060165">
        <w:rPr>
          <w:rFonts w:eastAsia="Calibri"/>
          <w:color w:val="000000" w:themeColor="text1"/>
          <w:lang w:val="pl-PL"/>
        </w:rPr>
        <w:t xml:space="preserve"> jako świadczenia gwarantowanego w zakresie ambulatoryjnej opieki specjalistycznej i leczenia szpitalnego,</w:t>
      </w:r>
      <w:r w:rsidR="00E57FF5" w:rsidRPr="00060165">
        <w:rPr>
          <w:rFonts w:eastAsia="Calibri"/>
          <w:color w:val="000000" w:themeColor="text1"/>
          <w:lang w:val="pl-PL"/>
        </w:rPr>
        <w:t xml:space="preserve"> </w:t>
      </w:r>
      <w:r w:rsidR="005F2322" w:rsidRPr="00060165">
        <w:rPr>
          <w:rFonts w:eastAsia="Calibri"/>
          <w:color w:val="000000" w:themeColor="text1"/>
          <w:lang w:val="pl-PL"/>
        </w:rPr>
        <w:t xml:space="preserve">świadczenie to nie jest </w:t>
      </w:r>
      <w:r w:rsidR="00E57FF5">
        <w:rPr>
          <w:rFonts w:eastAsia="Calibri"/>
          <w:color w:val="000000" w:themeColor="text1"/>
          <w:lang w:val="pl-PL"/>
        </w:rPr>
        <w:t xml:space="preserve">zdefiniowane jako oddzielny produkt kontraktowy  i </w:t>
      </w:r>
      <w:r w:rsidR="005F2322" w:rsidRPr="00060165">
        <w:rPr>
          <w:rFonts w:eastAsia="Calibri"/>
          <w:color w:val="000000" w:themeColor="text1"/>
          <w:lang w:val="pl-PL"/>
        </w:rPr>
        <w:t>finansowane ze środków publicznych</w:t>
      </w:r>
      <w:r w:rsidR="005F2322" w:rsidRPr="00060165">
        <w:rPr>
          <w:rFonts w:eastAsia="Calibri"/>
          <w:color w:val="000000" w:themeColor="text1"/>
          <w:szCs w:val="22"/>
          <w:lang w:val="pl-PL"/>
        </w:rPr>
        <w:t xml:space="preserve">. Pomimo braku refundacji oraz kosztów wyższych od standardowej hemodializy o ok. 23-29%, część </w:t>
      </w:r>
      <w:r w:rsidR="005F2322" w:rsidRPr="00060165">
        <w:rPr>
          <w:rFonts w:eastAsia="Calibri"/>
          <w:color w:val="000000" w:themeColor="text1"/>
          <w:lang w:val="pl-PL"/>
        </w:rPr>
        <w:t xml:space="preserve">świadczeniodawców wykonuje u pacjentów </w:t>
      </w:r>
      <w:proofErr w:type="spellStart"/>
      <w:r w:rsidR="005F2322" w:rsidRPr="00060165">
        <w:rPr>
          <w:rFonts w:eastAsia="Calibri"/>
          <w:color w:val="000000" w:themeColor="text1"/>
          <w:lang w:val="pl-PL"/>
        </w:rPr>
        <w:t>hemodiafiltrację</w:t>
      </w:r>
      <w:proofErr w:type="spellEnd"/>
      <w:r w:rsidR="00E57FF5">
        <w:rPr>
          <w:rFonts w:eastAsia="Calibri"/>
          <w:color w:val="000000" w:themeColor="text1"/>
          <w:lang w:val="pl-PL"/>
        </w:rPr>
        <w:t xml:space="preserve"> rozliczając to świadczenie jak klasyczną hemodializę</w:t>
      </w:r>
      <w:r w:rsidR="005F2322" w:rsidRPr="00060165">
        <w:rPr>
          <w:rStyle w:val="Odwoanieprzypisudolnego"/>
          <w:rFonts w:eastAsia="Calibri"/>
          <w:color w:val="000000" w:themeColor="text1"/>
          <w:sz w:val="22"/>
          <w:szCs w:val="22"/>
          <w:lang w:val="pl-PL"/>
        </w:rPr>
        <w:footnoteReference w:id="51"/>
      </w:r>
      <w:r w:rsidR="005F2322" w:rsidRPr="00060165">
        <w:rPr>
          <w:rFonts w:eastAsia="Calibri"/>
          <w:color w:val="000000" w:themeColor="text1"/>
          <w:lang w:val="pl-PL"/>
        </w:rPr>
        <w:t>.</w:t>
      </w:r>
    </w:p>
    <w:p w14:paraId="174FEAFB" w14:textId="77777777" w:rsidR="00000EF5" w:rsidRPr="009D74F7" w:rsidRDefault="009E6153" w:rsidP="00000EF5">
      <w:pPr>
        <w:pStyle w:val="EYHeading4"/>
        <w:rPr>
          <w:rFonts w:eastAsia="Calibri"/>
          <w:color w:val="000000" w:themeColor="text1"/>
          <w:lang w:val="pl-PL"/>
        </w:rPr>
      </w:pPr>
      <w:bookmarkStart w:id="77" w:name="_Toc486537920"/>
      <w:r w:rsidRPr="009D74F7">
        <w:rPr>
          <w:rFonts w:eastAsia="Calibri"/>
          <w:color w:val="000000" w:themeColor="text1"/>
          <w:lang w:val="pl-PL"/>
        </w:rPr>
        <w:t>Przeszczepienie nerki</w:t>
      </w:r>
      <w:bookmarkEnd w:id="77"/>
    </w:p>
    <w:p w14:paraId="6FF66C48" w14:textId="69D0BC9B" w:rsidR="008011FD" w:rsidRDefault="007500DD" w:rsidP="0075756C">
      <w:pPr>
        <w:rPr>
          <w:rFonts w:eastAsia="Calibri"/>
          <w:lang w:val="pl-PL"/>
        </w:rPr>
      </w:pPr>
      <w:r>
        <w:rPr>
          <w:rFonts w:eastAsia="Calibri"/>
          <w:lang w:val="pl-PL"/>
        </w:rPr>
        <w:t xml:space="preserve">Optymalną metodą leczenia nerkozastępczego jest przeszczep nerki, który pozwala na zastąpienie czynności wydalniczej, metabolicznej i wewnątrzwydzielniczej niewydolnych nerek własnych pacjenta. Jednak z uwagi na zaawansowany wiek chorych na schyłkową niewydolność nerek oraz występowanie wielu, często bardzo ciężkich, schorzeń współistniejących, z tej formy leczenia może skorzystać maksymalnie kilkanaście procent chorych. Z przyczyn organizacyjnych w Polsce odsetek ten jest jeszcze niższy i wynosi około 5% (około 1000 chorych aktywnych na KLO na ok. 20000 osób dializowanych). </w:t>
      </w:r>
      <w:r w:rsidR="003C04F8">
        <w:rPr>
          <w:rFonts w:eastAsia="Calibri"/>
          <w:lang w:val="pl-PL"/>
        </w:rPr>
        <w:t xml:space="preserve">Przeszczepienia nerki można dokonać u pacjentów ze schyłkową niewydolnością nerek (tj. kiedy GFR spadnie poniżej 15, a u </w:t>
      </w:r>
      <w:r w:rsidR="00083D14">
        <w:rPr>
          <w:rFonts w:eastAsia="Calibri"/>
          <w:lang w:val="pl-PL"/>
        </w:rPr>
        <w:t xml:space="preserve">chorych z cukrzycą </w:t>
      </w:r>
      <w:r w:rsidR="003C04F8">
        <w:rPr>
          <w:rFonts w:eastAsia="Calibri"/>
          <w:lang w:val="pl-PL"/>
        </w:rPr>
        <w:t>poniżej 20</w:t>
      </w:r>
      <w:r w:rsidR="003C04F8" w:rsidRPr="003C04F8">
        <w:rPr>
          <w:rFonts w:eastAsia="Calibri"/>
          <w:lang w:val="pl-PL"/>
        </w:rPr>
        <w:t xml:space="preserve"> </w:t>
      </w:r>
      <w:r w:rsidR="003C04F8" w:rsidRPr="004E663B">
        <w:rPr>
          <w:rFonts w:eastAsia="Calibri"/>
          <w:lang w:val="pl-PL"/>
        </w:rPr>
        <w:t>ml/min/1,73 m</w:t>
      </w:r>
      <w:r w:rsidR="003C04F8" w:rsidRPr="00112946">
        <w:rPr>
          <w:rFonts w:eastAsia="Calibri"/>
          <w:vertAlign w:val="superscript"/>
          <w:lang w:val="pl-PL"/>
        </w:rPr>
        <w:t>2</w:t>
      </w:r>
      <w:r w:rsidR="003C04F8">
        <w:rPr>
          <w:rFonts w:eastAsia="Calibri"/>
          <w:vertAlign w:val="superscript"/>
          <w:lang w:val="pl-PL"/>
        </w:rPr>
        <w:t>,</w:t>
      </w:r>
      <w:r w:rsidR="003C04F8">
        <w:rPr>
          <w:rFonts w:eastAsia="Calibri"/>
          <w:lang w:val="pl-PL"/>
        </w:rPr>
        <w:t xml:space="preserve">) </w:t>
      </w:r>
      <w:r w:rsidR="000B7453">
        <w:rPr>
          <w:rFonts w:eastAsia="Calibri"/>
          <w:lang w:val="pl-PL"/>
        </w:rPr>
        <w:t xml:space="preserve">  </w:t>
      </w:r>
      <w:r w:rsidR="003C04F8">
        <w:rPr>
          <w:rFonts w:eastAsia="Calibri"/>
          <w:lang w:val="pl-PL"/>
        </w:rPr>
        <w:t>przed rozpoczęciem dializoterapii (transplantacja wyprzedzająca) bądź już w trakcie leczenia dializami.</w:t>
      </w:r>
      <w:r w:rsidR="00F9716B">
        <w:rPr>
          <w:rFonts w:eastAsia="Calibri"/>
          <w:lang w:val="pl-PL"/>
        </w:rPr>
        <w:t xml:space="preserve"> Przeszczepiana nerka może pochodzić od zmarłego lub żywego dawcy, przy czym kluczowa jest zgodność grup krwi dawcy i biorcy oraz ujemny wynik próby krzyżowej pomiędzy limfocytami dawcy i surowicą biorcy</w:t>
      </w:r>
      <w:r w:rsidR="00E552B0">
        <w:rPr>
          <w:rFonts w:eastAsia="Calibri"/>
          <w:lang w:val="pl-PL"/>
        </w:rPr>
        <w:t xml:space="preserve">. Po udanej transplantacji przeszczepiona nerka może podjąć czynność bezpośrednio po </w:t>
      </w:r>
      <w:r>
        <w:rPr>
          <w:rFonts w:eastAsia="Calibri"/>
          <w:lang w:val="pl-PL"/>
        </w:rPr>
        <w:t xml:space="preserve">zabiegu </w:t>
      </w:r>
      <w:r w:rsidR="00E552B0">
        <w:rPr>
          <w:rFonts w:eastAsia="Calibri"/>
          <w:lang w:val="pl-PL"/>
        </w:rPr>
        <w:t xml:space="preserve">bądź z </w:t>
      </w:r>
      <w:r>
        <w:rPr>
          <w:rFonts w:eastAsia="Calibri"/>
          <w:lang w:val="pl-PL"/>
        </w:rPr>
        <w:t xml:space="preserve">pewnym </w:t>
      </w:r>
      <w:r w:rsidR="00E552B0">
        <w:rPr>
          <w:rFonts w:eastAsia="Calibri"/>
          <w:lang w:val="pl-PL"/>
        </w:rPr>
        <w:t>opóźnieniem, następnie stabilizując swoją czynność</w:t>
      </w:r>
      <w:r w:rsidR="008011FD" w:rsidRPr="00B63DCC">
        <w:rPr>
          <w:rStyle w:val="Odwoanieprzypisudolnego"/>
          <w:rFonts w:eastAsia="Calibri"/>
          <w:sz w:val="22"/>
          <w:lang w:val="pl-PL"/>
        </w:rPr>
        <w:footnoteReference w:id="52"/>
      </w:r>
      <w:r w:rsidR="00F9716B">
        <w:rPr>
          <w:rFonts w:eastAsia="Calibri"/>
          <w:lang w:val="pl-PL"/>
        </w:rPr>
        <w:t>.</w:t>
      </w:r>
      <w:r w:rsidR="008011FD">
        <w:rPr>
          <w:rFonts w:eastAsia="Calibri"/>
          <w:lang w:val="pl-PL"/>
        </w:rPr>
        <w:t xml:space="preserve"> </w:t>
      </w:r>
    </w:p>
    <w:p w14:paraId="5BA502D6" w14:textId="77777777" w:rsidR="008011FD" w:rsidRDefault="008011FD" w:rsidP="0075756C">
      <w:pPr>
        <w:rPr>
          <w:rFonts w:eastAsia="Calibri"/>
          <w:lang w:val="pl-PL"/>
        </w:rPr>
      </w:pPr>
      <w:r>
        <w:rPr>
          <w:rFonts w:eastAsia="Calibri"/>
          <w:lang w:val="pl-PL"/>
        </w:rPr>
        <w:t>Kompleksowa opieka nad pacjentem po przeszczepieniu narządu polega na</w:t>
      </w:r>
      <w:r w:rsidRPr="00B63DCC">
        <w:rPr>
          <w:rStyle w:val="Odwoanieprzypisudolnego"/>
          <w:rFonts w:eastAsia="Calibri"/>
          <w:sz w:val="22"/>
          <w:lang w:val="pl-PL"/>
        </w:rPr>
        <w:footnoteReference w:id="53"/>
      </w:r>
      <w:r>
        <w:rPr>
          <w:rFonts w:eastAsia="Calibri"/>
          <w:lang w:val="pl-PL"/>
        </w:rPr>
        <w:t>:</w:t>
      </w:r>
    </w:p>
    <w:p w14:paraId="646AAF2C" w14:textId="4E9323DD" w:rsidR="002A2DDD" w:rsidRPr="008011FD" w:rsidRDefault="008011FD" w:rsidP="00F84B72">
      <w:pPr>
        <w:pStyle w:val="EYBulletedList1"/>
        <w:numPr>
          <w:ilvl w:val="0"/>
          <w:numId w:val="11"/>
        </w:numPr>
        <w:ind w:left="289" w:hanging="289"/>
        <w:jc w:val="both"/>
        <w:rPr>
          <w:rFonts w:eastAsia="Calibri"/>
          <w:sz w:val="22"/>
          <w:lang w:val="pl-PL"/>
        </w:rPr>
      </w:pPr>
      <w:r w:rsidRPr="008011FD">
        <w:rPr>
          <w:rFonts w:eastAsia="Calibri"/>
          <w:sz w:val="22"/>
          <w:lang w:val="pl-PL"/>
        </w:rPr>
        <w:t>zindywidualizowan</w:t>
      </w:r>
      <w:r w:rsidR="007500DD">
        <w:rPr>
          <w:rFonts w:eastAsia="Calibri"/>
          <w:sz w:val="22"/>
          <w:lang w:val="pl-PL"/>
        </w:rPr>
        <w:t>ym</w:t>
      </w:r>
      <w:r w:rsidRPr="008011FD">
        <w:rPr>
          <w:rFonts w:eastAsia="Calibri"/>
          <w:sz w:val="22"/>
          <w:lang w:val="pl-PL"/>
        </w:rPr>
        <w:t xml:space="preserve"> i zoptymalizowan</w:t>
      </w:r>
      <w:r w:rsidR="007500DD">
        <w:rPr>
          <w:rFonts w:eastAsia="Calibri"/>
          <w:sz w:val="22"/>
          <w:lang w:val="pl-PL"/>
        </w:rPr>
        <w:t>ym</w:t>
      </w:r>
      <w:r w:rsidRPr="008011FD">
        <w:rPr>
          <w:rFonts w:eastAsia="Calibri"/>
          <w:sz w:val="22"/>
          <w:lang w:val="pl-PL"/>
        </w:rPr>
        <w:t xml:space="preserve"> leczeniu immunosupresyjn</w:t>
      </w:r>
      <w:r w:rsidR="007500DD">
        <w:rPr>
          <w:rFonts w:eastAsia="Calibri"/>
          <w:sz w:val="22"/>
          <w:lang w:val="pl-PL"/>
        </w:rPr>
        <w:t>ym</w:t>
      </w:r>
      <w:r w:rsidRPr="008011FD">
        <w:rPr>
          <w:rFonts w:eastAsia="Calibri"/>
          <w:sz w:val="22"/>
          <w:lang w:val="pl-PL"/>
        </w:rPr>
        <w:t xml:space="preserve"> dobran</w:t>
      </w:r>
      <w:r w:rsidR="007500DD">
        <w:rPr>
          <w:rFonts w:eastAsia="Calibri"/>
          <w:sz w:val="22"/>
          <w:lang w:val="pl-PL"/>
        </w:rPr>
        <w:t>ym</w:t>
      </w:r>
      <w:r w:rsidRPr="008011FD">
        <w:rPr>
          <w:rFonts w:eastAsia="Calibri"/>
          <w:sz w:val="22"/>
          <w:lang w:val="pl-PL"/>
        </w:rPr>
        <w:t xml:space="preserve"> w zależności od czynności przeszczepu, chorób współistniejących i działań niepożądanych</w:t>
      </w:r>
    </w:p>
    <w:p w14:paraId="6BCF063F" w14:textId="77777777" w:rsidR="008011FD" w:rsidRPr="008011FD" w:rsidRDefault="008011FD" w:rsidP="00F84B72">
      <w:pPr>
        <w:pStyle w:val="EYBulletedList1"/>
        <w:numPr>
          <w:ilvl w:val="0"/>
          <w:numId w:val="11"/>
        </w:numPr>
        <w:ind w:left="289" w:hanging="289"/>
        <w:jc w:val="both"/>
        <w:rPr>
          <w:rFonts w:eastAsia="Calibri"/>
          <w:sz w:val="22"/>
          <w:lang w:val="pl-PL"/>
        </w:rPr>
      </w:pPr>
      <w:r w:rsidRPr="008011FD">
        <w:rPr>
          <w:rFonts w:eastAsia="Calibri"/>
          <w:sz w:val="22"/>
          <w:lang w:val="pl-PL"/>
        </w:rPr>
        <w:t>monitorowaniu czynności przeszczepu</w:t>
      </w:r>
    </w:p>
    <w:p w14:paraId="002F81DF" w14:textId="77777777" w:rsidR="008011FD" w:rsidRPr="008011FD" w:rsidRDefault="008011FD" w:rsidP="00F84B72">
      <w:pPr>
        <w:pStyle w:val="EYBulletedList1"/>
        <w:numPr>
          <w:ilvl w:val="0"/>
          <w:numId w:val="11"/>
        </w:numPr>
        <w:ind w:left="289" w:hanging="289"/>
        <w:jc w:val="both"/>
        <w:rPr>
          <w:rFonts w:eastAsia="Calibri"/>
          <w:sz w:val="22"/>
          <w:lang w:val="pl-PL"/>
        </w:rPr>
      </w:pPr>
      <w:r w:rsidRPr="008011FD">
        <w:rPr>
          <w:rFonts w:eastAsia="Calibri"/>
          <w:sz w:val="22"/>
          <w:lang w:val="pl-PL"/>
        </w:rPr>
        <w:t>zapobieganiu, wczesnym wykryciu i leczeniu powikłań</w:t>
      </w:r>
    </w:p>
    <w:p w14:paraId="3995F98A" w14:textId="77777777" w:rsidR="008011FD" w:rsidRPr="008011FD" w:rsidRDefault="008011FD" w:rsidP="00F84B72">
      <w:pPr>
        <w:pStyle w:val="EYBulletedList1"/>
        <w:numPr>
          <w:ilvl w:val="0"/>
          <w:numId w:val="11"/>
        </w:numPr>
        <w:ind w:left="289" w:hanging="289"/>
        <w:jc w:val="both"/>
        <w:rPr>
          <w:rFonts w:eastAsia="Calibri"/>
          <w:sz w:val="22"/>
          <w:lang w:val="pl-PL"/>
        </w:rPr>
      </w:pPr>
      <w:r w:rsidRPr="008011FD">
        <w:rPr>
          <w:rFonts w:eastAsia="Calibri"/>
          <w:sz w:val="22"/>
          <w:lang w:val="pl-PL"/>
        </w:rPr>
        <w:t>edukacji chorych dotyczącej samoopieki i życia z przeszczepionym narządem</w:t>
      </w:r>
    </w:p>
    <w:p w14:paraId="4992FF72" w14:textId="77777777" w:rsidR="008011FD" w:rsidRDefault="00E552B0" w:rsidP="0075756C">
      <w:pPr>
        <w:rPr>
          <w:rFonts w:eastAsia="Calibri"/>
          <w:lang w:val="pl-PL"/>
        </w:rPr>
      </w:pPr>
      <w:r>
        <w:rPr>
          <w:rFonts w:eastAsia="Calibri"/>
          <w:lang w:val="pl-PL"/>
        </w:rPr>
        <w:t>Do powikłań transplantacji nerki należą powikłania wczesne (do roku po przeszczepieniu) oraz późne (po upływie roku od przeszczepienia</w:t>
      </w:r>
      <w:r w:rsidR="005938D1">
        <w:rPr>
          <w:rFonts w:eastAsia="Calibri"/>
          <w:lang w:val="pl-PL"/>
        </w:rPr>
        <w:t>)</w:t>
      </w:r>
      <w:r>
        <w:rPr>
          <w:rFonts w:eastAsia="Calibri"/>
          <w:lang w:val="pl-PL"/>
        </w:rPr>
        <w:t>. W pierwszym roku od przeszczepienia może dojść u pacjenta do o</w:t>
      </w:r>
      <w:r w:rsidR="00702B1E">
        <w:rPr>
          <w:rFonts w:eastAsia="Calibri"/>
          <w:lang w:val="pl-PL"/>
        </w:rPr>
        <w:t>strego o</w:t>
      </w:r>
      <w:r>
        <w:rPr>
          <w:rFonts w:eastAsia="Calibri"/>
          <w:lang w:val="pl-PL"/>
        </w:rPr>
        <w:t xml:space="preserve">drzucenia przeszczepu (szczególnie w pierwszych trzech miesiącach), </w:t>
      </w:r>
      <w:r w:rsidR="007500DD">
        <w:rPr>
          <w:rFonts w:eastAsia="Calibri"/>
          <w:lang w:val="pl-PL"/>
        </w:rPr>
        <w:t xml:space="preserve">powikłań naczyniowych, </w:t>
      </w:r>
      <w:r>
        <w:rPr>
          <w:rFonts w:eastAsia="Calibri"/>
          <w:lang w:val="pl-PL"/>
        </w:rPr>
        <w:t xml:space="preserve">wystąpienia działań niepożądanych leków immunosupresyjnych oraz </w:t>
      </w:r>
      <w:r w:rsidR="00702B1E">
        <w:rPr>
          <w:rFonts w:eastAsia="Calibri"/>
          <w:lang w:val="pl-PL"/>
        </w:rPr>
        <w:t xml:space="preserve">zakażeń oportunistycznych. Po upływie roku od przeszczepienia może dojść do wystąpienia </w:t>
      </w:r>
      <w:r w:rsidR="002C33E6">
        <w:rPr>
          <w:rFonts w:eastAsia="Calibri"/>
          <w:lang w:val="pl-PL"/>
        </w:rPr>
        <w:lastRenderedPageBreak/>
        <w:t>m.in. </w:t>
      </w:r>
      <w:r w:rsidR="00702B1E">
        <w:rPr>
          <w:rFonts w:eastAsia="Calibri"/>
          <w:lang w:val="pl-PL"/>
        </w:rPr>
        <w:t>następujących powikłań:</w:t>
      </w:r>
    </w:p>
    <w:p w14:paraId="275E9840" w14:textId="77777777" w:rsidR="00702B1E" w:rsidRDefault="00702B1E" w:rsidP="00F84B72">
      <w:pPr>
        <w:pStyle w:val="EYBulletedList1"/>
        <w:numPr>
          <w:ilvl w:val="0"/>
          <w:numId w:val="11"/>
        </w:numPr>
        <w:ind w:left="289" w:hanging="289"/>
        <w:jc w:val="both"/>
        <w:rPr>
          <w:rFonts w:eastAsia="Calibri"/>
          <w:sz w:val="22"/>
          <w:lang w:val="pl-PL"/>
        </w:rPr>
      </w:pPr>
      <w:r>
        <w:rPr>
          <w:rFonts w:eastAsia="Calibri"/>
          <w:sz w:val="22"/>
          <w:lang w:val="pl-PL"/>
        </w:rPr>
        <w:t xml:space="preserve">przewlekłe </w:t>
      </w:r>
      <w:r w:rsidRPr="00702B1E">
        <w:rPr>
          <w:rFonts w:eastAsia="Calibri"/>
          <w:sz w:val="22"/>
          <w:lang w:val="pl-PL"/>
        </w:rPr>
        <w:t>uszkodzeni</w:t>
      </w:r>
      <w:r>
        <w:rPr>
          <w:rFonts w:eastAsia="Calibri"/>
          <w:sz w:val="22"/>
          <w:lang w:val="pl-PL"/>
        </w:rPr>
        <w:t>e</w:t>
      </w:r>
      <w:r w:rsidRPr="00702B1E">
        <w:rPr>
          <w:rFonts w:eastAsia="Calibri"/>
          <w:sz w:val="22"/>
          <w:lang w:val="pl-PL"/>
        </w:rPr>
        <w:t xml:space="preserve"> </w:t>
      </w:r>
      <w:r w:rsidR="002C33E6">
        <w:rPr>
          <w:rFonts w:eastAsia="Calibri"/>
          <w:sz w:val="22"/>
          <w:lang w:val="pl-PL"/>
        </w:rPr>
        <w:t xml:space="preserve">(dysfunkcja) </w:t>
      </w:r>
      <w:r w:rsidRPr="00702B1E">
        <w:rPr>
          <w:rFonts w:eastAsia="Calibri"/>
          <w:sz w:val="22"/>
          <w:lang w:val="pl-PL"/>
        </w:rPr>
        <w:t xml:space="preserve">przeszczepu </w:t>
      </w:r>
      <w:r w:rsidR="002C33E6">
        <w:rPr>
          <w:rFonts w:eastAsia="Calibri"/>
          <w:sz w:val="22"/>
          <w:lang w:val="pl-PL"/>
        </w:rPr>
        <w:t xml:space="preserve">objawiające się postępującą i nieodwracalną niewydolnością nerki przeszczepionej </w:t>
      </w:r>
      <w:r w:rsidRPr="00702B1E">
        <w:rPr>
          <w:rFonts w:eastAsia="Calibri"/>
          <w:sz w:val="22"/>
          <w:lang w:val="pl-PL"/>
        </w:rPr>
        <w:t>m.in. w wyniku przewlekłego odrzucania przeszczepu zależnego od przeciwciał czy nawrotu choroby podstawowej</w:t>
      </w:r>
    </w:p>
    <w:p w14:paraId="73038EF0" w14:textId="77777777" w:rsidR="007500DD" w:rsidRPr="00702B1E" w:rsidRDefault="007500DD" w:rsidP="00F84B72">
      <w:pPr>
        <w:pStyle w:val="EYBulletedList1"/>
        <w:numPr>
          <w:ilvl w:val="0"/>
          <w:numId w:val="11"/>
        </w:numPr>
        <w:ind w:left="289" w:hanging="289"/>
        <w:jc w:val="both"/>
        <w:rPr>
          <w:rFonts w:eastAsia="Calibri"/>
          <w:sz w:val="22"/>
          <w:lang w:val="pl-PL"/>
        </w:rPr>
      </w:pPr>
      <w:r>
        <w:rPr>
          <w:rFonts w:eastAsia="Calibri"/>
          <w:sz w:val="22"/>
          <w:lang w:val="pl-PL"/>
        </w:rPr>
        <w:t>ostre odrzucenie przeszczepionego narządu</w:t>
      </w:r>
    </w:p>
    <w:p w14:paraId="6A8F7629" w14:textId="77777777" w:rsidR="00702B1E" w:rsidRPr="00702B1E" w:rsidRDefault="00702B1E" w:rsidP="00F84B72">
      <w:pPr>
        <w:pStyle w:val="EYBulletedList1"/>
        <w:numPr>
          <w:ilvl w:val="0"/>
          <w:numId w:val="11"/>
        </w:numPr>
        <w:ind w:left="289" w:hanging="289"/>
        <w:jc w:val="both"/>
        <w:rPr>
          <w:rFonts w:eastAsia="Calibri"/>
          <w:sz w:val="22"/>
          <w:lang w:val="pl-PL"/>
        </w:rPr>
      </w:pPr>
      <w:r>
        <w:rPr>
          <w:rFonts w:eastAsia="Calibri"/>
          <w:sz w:val="22"/>
          <w:lang w:val="pl-PL"/>
        </w:rPr>
        <w:t>zakażenia</w:t>
      </w:r>
    </w:p>
    <w:p w14:paraId="1CB4EF2B" w14:textId="77777777" w:rsidR="00702B1E" w:rsidRPr="00702B1E" w:rsidRDefault="00702B1E" w:rsidP="00F84B72">
      <w:pPr>
        <w:pStyle w:val="EYBulletedList1"/>
        <w:numPr>
          <w:ilvl w:val="0"/>
          <w:numId w:val="11"/>
        </w:numPr>
        <w:ind w:left="289" w:hanging="289"/>
        <w:jc w:val="both"/>
        <w:rPr>
          <w:rFonts w:eastAsia="Calibri"/>
          <w:sz w:val="22"/>
          <w:lang w:val="pl-PL"/>
        </w:rPr>
      </w:pPr>
      <w:r>
        <w:rPr>
          <w:rFonts w:eastAsia="Calibri"/>
          <w:sz w:val="22"/>
          <w:lang w:val="pl-PL"/>
        </w:rPr>
        <w:t>choroby</w:t>
      </w:r>
      <w:r w:rsidRPr="00702B1E">
        <w:rPr>
          <w:rFonts w:eastAsia="Calibri"/>
          <w:sz w:val="22"/>
          <w:lang w:val="pl-PL"/>
        </w:rPr>
        <w:t xml:space="preserve"> układu sercowo-naczyniowego</w:t>
      </w:r>
      <w:r w:rsidR="002C33E6">
        <w:rPr>
          <w:rFonts w:eastAsia="Calibri"/>
          <w:sz w:val="22"/>
          <w:lang w:val="pl-PL"/>
        </w:rPr>
        <w:t>, w tym nadciśnienie tętnicze i choroba niedokrwienna serca</w:t>
      </w:r>
    </w:p>
    <w:p w14:paraId="64480A27" w14:textId="77777777" w:rsidR="00702B1E" w:rsidRPr="00702B1E" w:rsidRDefault="00702B1E" w:rsidP="00F84B72">
      <w:pPr>
        <w:pStyle w:val="EYBulletedList1"/>
        <w:numPr>
          <w:ilvl w:val="0"/>
          <w:numId w:val="11"/>
        </w:numPr>
        <w:ind w:left="289" w:hanging="289"/>
        <w:jc w:val="both"/>
        <w:rPr>
          <w:rFonts w:eastAsia="Calibri"/>
          <w:sz w:val="22"/>
          <w:lang w:val="pl-PL"/>
        </w:rPr>
      </w:pPr>
      <w:r w:rsidRPr="00702B1E">
        <w:rPr>
          <w:rFonts w:eastAsia="Calibri"/>
          <w:sz w:val="22"/>
          <w:lang w:val="pl-PL"/>
        </w:rPr>
        <w:t>zaburze</w:t>
      </w:r>
      <w:r>
        <w:rPr>
          <w:rFonts w:eastAsia="Calibri"/>
          <w:sz w:val="22"/>
          <w:lang w:val="pl-PL"/>
        </w:rPr>
        <w:t>nia</w:t>
      </w:r>
      <w:r w:rsidRPr="00702B1E">
        <w:rPr>
          <w:rFonts w:eastAsia="Calibri"/>
          <w:sz w:val="22"/>
          <w:lang w:val="pl-PL"/>
        </w:rPr>
        <w:t xml:space="preserve"> metaboliczn</w:t>
      </w:r>
      <w:r>
        <w:rPr>
          <w:rFonts w:eastAsia="Calibri"/>
          <w:sz w:val="22"/>
          <w:lang w:val="pl-PL"/>
        </w:rPr>
        <w:t xml:space="preserve">e w postaci cukrzycy </w:t>
      </w:r>
      <w:proofErr w:type="spellStart"/>
      <w:r>
        <w:rPr>
          <w:rFonts w:eastAsia="Calibri"/>
          <w:sz w:val="22"/>
          <w:lang w:val="pl-PL"/>
        </w:rPr>
        <w:t>potransplantacyjnej</w:t>
      </w:r>
      <w:proofErr w:type="spellEnd"/>
      <w:r>
        <w:rPr>
          <w:rFonts w:eastAsia="Calibri"/>
          <w:sz w:val="22"/>
          <w:lang w:val="pl-PL"/>
        </w:rPr>
        <w:t xml:space="preserve"> </w:t>
      </w:r>
      <w:r w:rsidR="002C33E6">
        <w:rPr>
          <w:rFonts w:eastAsia="Calibri"/>
          <w:sz w:val="22"/>
          <w:lang w:val="pl-PL"/>
        </w:rPr>
        <w:t>i</w:t>
      </w:r>
      <w:r>
        <w:rPr>
          <w:rFonts w:eastAsia="Calibri"/>
          <w:sz w:val="22"/>
          <w:lang w:val="pl-PL"/>
        </w:rPr>
        <w:t xml:space="preserve"> </w:t>
      </w:r>
      <w:proofErr w:type="spellStart"/>
      <w:r>
        <w:rPr>
          <w:rFonts w:eastAsia="Calibri"/>
          <w:sz w:val="22"/>
          <w:lang w:val="pl-PL"/>
        </w:rPr>
        <w:t>dyslipidemii</w:t>
      </w:r>
      <w:proofErr w:type="spellEnd"/>
    </w:p>
    <w:p w14:paraId="3ABA6996" w14:textId="77777777" w:rsidR="00702B1E" w:rsidRDefault="00702B1E" w:rsidP="00F84B72">
      <w:pPr>
        <w:pStyle w:val="EYBulletedList1"/>
        <w:numPr>
          <w:ilvl w:val="0"/>
          <w:numId w:val="11"/>
        </w:numPr>
        <w:ind w:left="289" w:hanging="289"/>
        <w:jc w:val="both"/>
        <w:rPr>
          <w:rFonts w:eastAsia="Calibri"/>
          <w:sz w:val="22"/>
          <w:lang w:val="pl-PL"/>
        </w:rPr>
      </w:pPr>
      <w:r>
        <w:rPr>
          <w:rFonts w:eastAsia="Calibri"/>
          <w:sz w:val="22"/>
          <w:lang w:val="pl-PL"/>
        </w:rPr>
        <w:t xml:space="preserve">rozwój </w:t>
      </w:r>
      <w:r w:rsidRPr="00702B1E">
        <w:rPr>
          <w:rFonts w:eastAsia="Calibri"/>
          <w:sz w:val="22"/>
          <w:lang w:val="pl-PL"/>
        </w:rPr>
        <w:t>nowotworów</w:t>
      </w:r>
      <w:r>
        <w:rPr>
          <w:rFonts w:eastAsia="Calibri"/>
          <w:sz w:val="22"/>
          <w:lang w:val="pl-PL"/>
        </w:rPr>
        <w:t xml:space="preserve"> u 20-60% pacjentów</w:t>
      </w:r>
    </w:p>
    <w:p w14:paraId="1C717D28" w14:textId="77777777" w:rsidR="002C33E6" w:rsidRDefault="002C33E6" w:rsidP="00F84B72">
      <w:pPr>
        <w:pStyle w:val="EYBulletedList1"/>
        <w:numPr>
          <w:ilvl w:val="0"/>
          <w:numId w:val="11"/>
        </w:numPr>
        <w:ind w:left="289" w:hanging="289"/>
        <w:jc w:val="both"/>
        <w:rPr>
          <w:rFonts w:eastAsia="Calibri"/>
          <w:sz w:val="22"/>
          <w:lang w:val="pl-PL"/>
        </w:rPr>
      </w:pPr>
      <w:proofErr w:type="spellStart"/>
      <w:r>
        <w:rPr>
          <w:rFonts w:eastAsia="Calibri"/>
          <w:sz w:val="22"/>
          <w:lang w:val="pl-PL"/>
        </w:rPr>
        <w:t>potransplantacyjna</w:t>
      </w:r>
      <w:proofErr w:type="spellEnd"/>
      <w:r>
        <w:rPr>
          <w:rFonts w:eastAsia="Calibri"/>
          <w:sz w:val="22"/>
          <w:lang w:val="pl-PL"/>
        </w:rPr>
        <w:t xml:space="preserve"> choroba kości</w:t>
      </w:r>
    </w:p>
    <w:p w14:paraId="48DB1CF4" w14:textId="77777777" w:rsidR="002C33E6" w:rsidRDefault="002C33E6" w:rsidP="00F84B72">
      <w:pPr>
        <w:pStyle w:val="EYBulletedList1"/>
        <w:numPr>
          <w:ilvl w:val="0"/>
          <w:numId w:val="11"/>
        </w:numPr>
        <w:ind w:left="289" w:hanging="289"/>
        <w:jc w:val="both"/>
        <w:rPr>
          <w:rFonts w:eastAsia="Calibri"/>
          <w:sz w:val="22"/>
          <w:lang w:val="pl-PL"/>
        </w:rPr>
      </w:pPr>
      <w:r>
        <w:rPr>
          <w:rFonts w:eastAsia="Calibri"/>
          <w:sz w:val="22"/>
          <w:lang w:val="pl-PL"/>
        </w:rPr>
        <w:t>powikłania ze strony przewodu pokarmowego</w:t>
      </w:r>
    </w:p>
    <w:p w14:paraId="18F2AA0A" w14:textId="77777777" w:rsidR="002C33E6" w:rsidRPr="00702B1E" w:rsidRDefault="002C33E6" w:rsidP="00F84B72">
      <w:pPr>
        <w:pStyle w:val="EYBulletedList1"/>
        <w:numPr>
          <w:ilvl w:val="0"/>
          <w:numId w:val="11"/>
        </w:numPr>
        <w:ind w:left="289" w:hanging="289"/>
        <w:jc w:val="both"/>
        <w:rPr>
          <w:rFonts w:eastAsia="Calibri"/>
          <w:sz w:val="22"/>
          <w:lang w:val="pl-PL"/>
        </w:rPr>
      </w:pPr>
      <w:r>
        <w:rPr>
          <w:rFonts w:eastAsia="Calibri"/>
          <w:sz w:val="22"/>
          <w:lang w:val="pl-PL"/>
        </w:rPr>
        <w:t xml:space="preserve">niedokrwistość lub </w:t>
      </w:r>
      <w:proofErr w:type="spellStart"/>
      <w:r>
        <w:rPr>
          <w:rFonts w:eastAsia="Calibri"/>
          <w:sz w:val="22"/>
          <w:lang w:val="pl-PL"/>
        </w:rPr>
        <w:t>nadkrwistość</w:t>
      </w:r>
      <w:proofErr w:type="spellEnd"/>
    </w:p>
    <w:p w14:paraId="3071FC9A" w14:textId="77777777" w:rsidR="002A2DDD" w:rsidRPr="002A2DDD" w:rsidRDefault="002A2DDD" w:rsidP="002A2DDD">
      <w:pPr>
        <w:pStyle w:val="EYHeading1"/>
        <w:rPr>
          <w:rFonts w:eastAsia="Calibri"/>
          <w:lang w:val="pl-PL"/>
        </w:rPr>
      </w:pPr>
      <w:bookmarkStart w:id="78" w:name="_Toc486537921"/>
      <w:r w:rsidRPr="002A2DDD">
        <w:rPr>
          <w:rFonts w:eastAsia="Calibri"/>
          <w:lang w:val="pl-PL"/>
        </w:rPr>
        <w:lastRenderedPageBreak/>
        <w:t>Aktualny stan opieki</w:t>
      </w:r>
      <w:bookmarkEnd w:id="78"/>
    </w:p>
    <w:p w14:paraId="1FF477EA" w14:textId="77777777" w:rsidR="002A2DDD" w:rsidRPr="009D74F7" w:rsidRDefault="007109B0" w:rsidP="002A2DDD">
      <w:pPr>
        <w:pStyle w:val="EYHeading2"/>
        <w:rPr>
          <w:rFonts w:eastAsia="Calibri"/>
          <w:color w:val="000000" w:themeColor="text1"/>
          <w:lang w:val="pl-PL"/>
        </w:rPr>
      </w:pPr>
      <w:bookmarkStart w:id="79" w:name="_Toc486537922"/>
      <w:r w:rsidRPr="009D74F7">
        <w:rPr>
          <w:rFonts w:eastAsia="Calibri"/>
          <w:color w:val="000000" w:themeColor="text1"/>
          <w:lang w:val="pl-PL"/>
        </w:rPr>
        <w:t>Świadczeniodawcy zaangażowani</w:t>
      </w:r>
      <w:r w:rsidR="002A2DDD" w:rsidRPr="009D74F7">
        <w:rPr>
          <w:rFonts w:eastAsia="Calibri"/>
          <w:color w:val="000000" w:themeColor="text1"/>
          <w:lang w:val="pl-PL"/>
        </w:rPr>
        <w:t xml:space="preserve"> w opiekę nad pacjentem nefrologicznym</w:t>
      </w:r>
      <w:bookmarkEnd w:id="79"/>
    </w:p>
    <w:p w14:paraId="00A908EE" w14:textId="239A4F05" w:rsidR="00DB29CF" w:rsidRDefault="00A07A35" w:rsidP="00F014C3">
      <w:pPr>
        <w:rPr>
          <w:rFonts w:eastAsia="Calibri"/>
          <w:lang w:val="pl-PL"/>
        </w:rPr>
      </w:pPr>
      <w:r>
        <w:rPr>
          <w:rFonts w:eastAsia="Calibri"/>
          <w:lang w:val="pl-PL"/>
        </w:rPr>
        <w:t>P</w:t>
      </w:r>
      <w:r w:rsidR="004D6822">
        <w:rPr>
          <w:rFonts w:eastAsia="Calibri"/>
          <w:lang w:val="pl-PL"/>
        </w:rPr>
        <w:t>olscy p</w:t>
      </w:r>
      <w:r w:rsidR="00F026F3">
        <w:rPr>
          <w:rFonts w:eastAsia="Calibri"/>
          <w:lang w:val="pl-PL"/>
        </w:rPr>
        <w:t xml:space="preserve">acjenci dotknięci przewlekłą chorobą nerek </w:t>
      </w:r>
      <w:r w:rsidR="00BF0FCD">
        <w:rPr>
          <w:rFonts w:eastAsia="Calibri"/>
          <w:lang w:val="pl-PL"/>
        </w:rPr>
        <w:t>korzystają z opieki zdrowotnej</w:t>
      </w:r>
      <w:r w:rsidR="00F026F3">
        <w:rPr>
          <w:rFonts w:eastAsia="Calibri"/>
          <w:lang w:val="pl-PL"/>
        </w:rPr>
        <w:t xml:space="preserve"> na poziomie opieki podstawowej, specjalistycznej i wysokospecjalistycznej</w:t>
      </w:r>
      <w:r w:rsidR="002063FB">
        <w:rPr>
          <w:rFonts w:eastAsia="Calibri"/>
          <w:lang w:val="pl-PL"/>
        </w:rPr>
        <w:t xml:space="preserve">, </w:t>
      </w:r>
      <w:r w:rsidR="00F026F3">
        <w:rPr>
          <w:rFonts w:eastAsia="Calibri"/>
          <w:lang w:val="pl-PL"/>
        </w:rPr>
        <w:t>w</w:t>
      </w:r>
      <w:r w:rsidR="00DB29CF">
        <w:rPr>
          <w:rFonts w:eastAsia="Calibri"/>
          <w:lang w:val="pl-PL"/>
        </w:rPr>
        <w:t xml:space="preserve"> </w:t>
      </w:r>
      <w:r w:rsidR="00F026F3">
        <w:rPr>
          <w:rFonts w:eastAsia="Calibri"/>
          <w:lang w:val="pl-PL"/>
        </w:rPr>
        <w:t>trybie ambulatoryjnym i stacjonarnym. W zależności od stopnia zaawan</w:t>
      </w:r>
      <w:r w:rsidR="00DB29CF">
        <w:rPr>
          <w:rFonts w:eastAsia="Calibri"/>
          <w:lang w:val="pl-PL"/>
        </w:rPr>
        <w:t xml:space="preserve">sowania choroby i jej progresji, </w:t>
      </w:r>
      <w:r w:rsidR="00F026F3">
        <w:rPr>
          <w:rFonts w:eastAsia="Calibri"/>
          <w:lang w:val="pl-PL"/>
        </w:rPr>
        <w:t>intensywność tych kontaktów</w:t>
      </w:r>
      <w:r w:rsidR="003144C1">
        <w:rPr>
          <w:rFonts w:eastAsia="Calibri"/>
          <w:lang w:val="pl-PL"/>
        </w:rPr>
        <w:t xml:space="preserve"> </w:t>
      </w:r>
      <w:r w:rsidR="00F026F3">
        <w:rPr>
          <w:rFonts w:eastAsia="Calibri"/>
          <w:lang w:val="pl-PL"/>
        </w:rPr>
        <w:t>na różnych poziomach opieki</w:t>
      </w:r>
      <w:r w:rsidR="00397885">
        <w:rPr>
          <w:rFonts w:eastAsia="Calibri"/>
          <w:lang w:val="pl-PL"/>
        </w:rPr>
        <w:t>,</w:t>
      </w:r>
      <w:r w:rsidR="00F026F3">
        <w:rPr>
          <w:rFonts w:eastAsia="Calibri"/>
          <w:lang w:val="pl-PL"/>
        </w:rPr>
        <w:t xml:space="preserve"> </w:t>
      </w:r>
      <w:r w:rsidR="007500DD">
        <w:rPr>
          <w:rFonts w:eastAsia="Calibri"/>
          <w:lang w:val="pl-PL"/>
        </w:rPr>
        <w:t>podlega zmianom</w:t>
      </w:r>
      <w:r w:rsidR="00CB46BD">
        <w:rPr>
          <w:rFonts w:eastAsia="Calibri"/>
          <w:lang w:val="pl-PL"/>
        </w:rPr>
        <w:t>. Z uwagi na przewlekłość i nieodwracalność schorzenia</w:t>
      </w:r>
      <w:r w:rsidR="00397885">
        <w:rPr>
          <w:rFonts w:eastAsia="Calibri"/>
          <w:lang w:val="pl-PL"/>
        </w:rPr>
        <w:t>,</w:t>
      </w:r>
      <w:r w:rsidR="008B36E3">
        <w:rPr>
          <w:rFonts w:eastAsia="Calibri"/>
          <w:lang w:val="pl-PL"/>
        </w:rPr>
        <w:t xml:space="preserve"> w momencie kiedy u pacjenta zostanie zdiagnozowan</w:t>
      </w:r>
      <w:r w:rsidR="00397885">
        <w:rPr>
          <w:rFonts w:eastAsia="Calibri"/>
          <w:lang w:val="pl-PL"/>
        </w:rPr>
        <w:t xml:space="preserve">a </w:t>
      </w:r>
      <w:proofErr w:type="spellStart"/>
      <w:r w:rsidR="00397885">
        <w:rPr>
          <w:rFonts w:eastAsia="Calibri"/>
          <w:lang w:val="pl-PL"/>
        </w:rPr>
        <w:t>PChN</w:t>
      </w:r>
      <w:proofErr w:type="spellEnd"/>
      <w:r w:rsidR="00397885">
        <w:rPr>
          <w:rFonts w:eastAsia="Calibri"/>
          <w:lang w:val="pl-PL"/>
        </w:rPr>
        <w:t xml:space="preserve">, zostaje on na stałe włączony do systemu i </w:t>
      </w:r>
      <w:r w:rsidR="008B36E3">
        <w:rPr>
          <w:rFonts w:eastAsia="Calibri"/>
          <w:lang w:val="pl-PL"/>
        </w:rPr>
        <w:t xml:space="preserve">podlega </w:t>
      </w:r>
      <w:r w:rsidR="00397885">
        <w:rPr>
          <w:rFonts w:eastAsia="Calibri"/>
          <w:lang w:val="pl-PL"/>
        </w:rPr>
        <w:t>ciągłej</w:t>
      </w:r>
      <w:r w:rsidR="008B36E3">
        <w:rPr>
          <w:rFonts w:eastAsia="Calibri"/>
          <w:lang w:val="pl-PL"/>
        </w:rPr>
        <w:t xml:space="preserve">, </w:t>
      </w:r>
      <w:r w:rsidR="00397885">
        <w:rPr>
          <w:rFonts w:eastAsia="Calibri"/>
          <w:lang w:val="pl-PL"/>
        </w:rPr>
        <w:t>wielopoziomowej i wielowymiarowej opiece</w:t>
      </w:r>
      <w:r w:rsidR="004D6822" w:rsidRPr="007003B2">
        <w:rPr>
          <w:rStyle w:val="Odwoanieprzypisudolnego"/>
          <w:rFonts w:eastAsia="Calibri"/>
          <w:sz w:val="22"/>
          <w:lang w:val="pl-PL"/>
        </w:rPr>
        <w:footnoteReference w:id="54"/>
      </w:r>
      <w:r w:rsidR="005F0AA4">
        <w:rPr>
          <w:rFonts w:eastAsia="Calibri"/>
          <w:lang w:val="pl-PL"/>
        </w:rPr>
        <w:t xml:space="preserve">. </w:t>
      </w:r>
      <w:r w:rsidR="00962365">
        <w:rPr>
          <w:lang w:val="pl-PL"/>
        </w:rPr>
        <w:t xml:space="preserve">Aktualnie nie funkcjonują w Polsce </w:t>
      </w:r>
      <w:r w:rsidR="00962365" w:rsidRPr="00962365">
        <w:rPr>
          <w:rFonts w:eastAsia="Calibri"/>
          <w:lang w:val="pl-PL"/>
        </w:rPr>
        <w:t>zespoł</w:t>
      </w:r>
      <w:r w:rsidR="00962365">
        <w:rPr>
          <w:rFonts w:eastAsia="Calibri"/>
          <w:lang w:val="pl-PL"/>
        </w:rPr>
        <w:t>y ani s</w:t>
      </w:r>
      <w:r w:rsidR="00962365" w:rsidRPr="00962365">
        <w:rPr>
          <w:rFonts w:eastAsia="Calibri"/>
          <w:lang w:val="pl-PL"/>
        </w:rPr>
        <w:t>pecjalne</w:t>
      </w:r>
      <w:r w:rsidR="00464933">
        <w:rPr>
          <w:rFonts w:eastAsia="Calibri"/>
          <w:lang w:val="pl-PL"/>
        </w:rPr>
        <w:t xml:space="preserve"> ogólnopolskie</w:t>
      </w:r>
      <w:r w:rsidR="00962365" w:rsidRPr="00962365">
        <w:rPr>
          <w:rFonts w:eastAsia="Calibri"/>
          <w:lang w:val="pl-PL"/>
        </w:rPr>
        <w:t xml:space="preserve"> program</w:t>
      </w:r>
      <w:r w:rsidR="00962365">
        <w:rPr>
          <w:rFonts w:eastAsia="Calibri"/>
          <w:lang w:val="pl-PL"/>
        </w:rPr>
        <w:t xml:space="preserve">y dedykowane wczesnemu wykrywaniu </w:t>
      </w:r>
      <w:proofErr w:type="spellStart"/>
      <w:r w:rsidR="00962365">
        <w:rPr>
          <w:rFonts w:eastAsia="Calibri"/>
          <w:lang w:val="pl-PL"/>
        </w:rPr>
        <w:t>PChN</w:t>
      </w:r>
      <w:proofErr w:type="spellEnd"/>
      <w:r w:rsidR="00962365">
        <w:rPr>
          <w:rFonts w:eastAsia="Calibri"/>
          <w:lang w:val="pl-PL"/>
        </w:rPr>
        <w:t xml:space="preserve"> bądź koordynacji opieki nad pacjentem już zdiagnozowanym. </w:t>
      </w:r>
      <w:r w:rsidR="005F0AA4">
        <w:rPr>
          <w:rFonts w:eastAsia="Calibri"/>
          <w:lang w:val="pl-PL"/>
        </w:rPr>
        <w:t xml:space="preserve">Opieka nad pacjentami z </w:t>
      </w:r>
      <w:proofErr w:type="spellStart"/>
      <w:r w:rsidR="005F0AA4">
        <w:rPr>
          <w:rFonts w:eastAsia="Calibri"/>
          <w:lang w:val="pl-PL"/>
        </w:rPr>
        <w:t>PChN</w:t>
      </w:r>
      <w:proofErr w:type="spellEnd"/>
      <w:r w:rsidR="005F0AA4">
        <w:rPr>
          <w:rFonts w:eastAsia="Calibri"/>
          <w:lang w:val="pl-PL"/>
        </w:rPr>
        <w:t xml:space="preserve"> </w:t>
      </w:r>
      <w:r w:rsidR="008A79E0">
        <w:rPr>
          <w:rFonts w:eastAsia="Calibri"/>
          <w:lang w:val="pl-PL"/>
        </w:rPr>
        <w:t xml:space="preserve">ma charakter rozproszony i </w:t>
      </w:r>
      <w:r w:rsidR="005F0AA4">
        <w:rPr>
          <w:rFonts w:eastAsia="Calibri"/>
          <w:lang w:val="pl-PL"/>
        </w:rPr>
        <w:t xml:space="preserve">jest udzielana </w:t>
      </w:r>
      <w:r w:rsidR="004D6822">
        <w:rPr>
          <w:rFonts w:eastAsia="Calibri"/>
          <w:lang w:val="pl-PL"/>
        </w:rPr>
        <w:t xml:space="preserve">w Polsce </w:t>
      </w:r>
      <w:r w:rsidR="007003B2">
        <w:rPr>
          <w:rFonts w:eastAsia="Calibri"/>
          <w:lang w:val="pl-PL"/>
        </w:rPr>
        <w:t>m.in. przez:</w:t>
      </w:r>
    </w:p>
    <w:p w14:paraId="6FC8396C" w14:textId="77777777" w:rsidR="00DB29CF" w:rsidRPr="007003B2" w:rsidRDefault="00213898" w:rsidP="00F84B72">
      <w:pPr>
        <w:pStyle w:val="EYBulletedList1"/>
        <w:numPr>
          <w:ilvl w:val="0"/>
          <w:numId w:val="11"/>
        </w:numPr>
        <w:ind w:left="289" w:hanging="289"/>
        <w:jc w:val="both"/>
        <w:rPr>
          <w:rFonts w:eastAsia="Calibri"/>
          <w:sz w:val="22"/>
          <w:lang w:val="pl-PL"/>
        </w:rPr>
      </w:pPr>
      <w:r>
        <w:rPr>
          <w:rFonts w:eastAsia="Calibri"/>
          <w:sz w:val="22"/>
          <w:lang w:val="pl-PL"/>
        </w:rPr>
        <w:t xml:space="preserve">poradnie </w:t>
      </w:r>
      <w:r w:rsidR="007003B2">
        <w:rPr>
          <w:rFonts w:eastAsia="Calibri"/>
          <w:sz w:val="22"/>
          <w:lang w:val="pl-PL"/>
        </w:rPr>
        <w:t>l</w:t>
      </w:r>
      <w:r w:rsidR="007003B2" w:rsidRPr="007003B2">
        <w:rPr>
          <w:rFonts w:eastAsia="Calibri"/>
          <w:sz w:val="22"/>
          <w:lang w:val="pl-PL"/>
        </w:rPr>
        <w:t>ekarz</w:t>
      </w:r>
      <w:r w:rsidR="007003B2">
        <w:rPr>
          <w:rFonts w:eastAsia="Calibri"/>
          <w:sz w:val="22"/>
          <w:lang w:val="pl-PL"/>
        </w:rPr>
        <w:t>a</w:t>
      </w:r>
      <w:r w:rsidR="007003B2" w:rsidRPr="007003B2">
        <w:rPr>
          <w:rFonts w:eastAsia="Calibri"/>
          <w:sz w:val="22"/>
          <w:lang w:val="pl-PL"/>
        </w:rPr>
        <w:t xml:space="preserve"> rodzinn</w:t>
      </w:r>
      <w:r w:rsidR="007003B2">
        <w:rPr>
          <w:rFonts w:eastAsia="Calibri"/>
          <w:sz w:val="22"/>
          <w:lang w:val="pl-PL"/>
        </w:rPr>
        <w:t>ego (POZ)</w:t>
      </w:r>
    </w:p>
    <w:p w14:paraId="6F4FCF75" w14:textId="77777777" w:rsidR="00213898" w:rsidRDefault="007003B2" w:rsidP="00F84B72">
      <w:pPr>
        <w:pStyle w:val="EYBulletedList1"/>
        <w:numPr>
          <w:ilvl w:val="0"/>
          <w:numId w:val="11"/>
        </w:numPr>
        <w:ind w:left="289" w:hanging="289"/>
        <w:jc w:val="both"/>
        <w:rPr>
          <w:rFonts w:eastAsia="Calibri"/>
          <w:sz w:val="22"/>
          <w:lang w:val="pl-PL"/>
        </w:rPr>
      </w:pPr>
      <w:r w:rsidRPr="00213898">
        <w:rPr>
          <w:rFonts w:eastAsia="Calibri"/>
          <w:sz w:val="22"/>
          <w:lang w:val="pl-PL"/>
        </w:rPr>
        <w:t xml:space="preserve">poradnie nefrologiczne </w:t>
      </w:r>
      <w:r w:rsidR="00C70E6E" w:rsidRPr="00213898">
        <w:rPr>
          <w:rFonts w:eastAsia="Calibri"/>
          <w:sz w:val="22"/>
          <w:lang w:val="pl-PL"/>
        </w:rPr>
        <w:t>oraz inn</w:t>
      </w:r>
      <w:r w:rsidR="00213898" w:rsidRPr="00213898">
        <w:rPr>
          <w:rFonts w:eastAsia="Calibri"/>
          <w:sz w:val="22"/>
          <w:lang w:val="pl-PL"/>
        </w:rPr>
        <w:t xml:space="preserve">e poradnie specjalistyczne </w:t>
      </w:r>
      <w:r w:rsidRPr="00213898">
        <w:rPr>
          <w:rFonts w:eastAsia="Calibri"/>
          <w:sz w:val="22"/>
          <w:lang w:val="pl-PL"/>
        </w:rPr>
        <w:t>(AOS</w:t>
      </w:r>
      <w:r w:rsidR="00213898">
        <w:rPr>
          <w:rFonts w:eastAsia="Calibri"/>
          <w:sz w:val="22"/>
          <w:lang w:val="pl-PL"/>
        </w:rPr>
        <w:t>)</w:t>
      </w:r>
    </w:p>
    <w:p w14:paraId="63D69E2F" w14:textId="77777777" w:rsidR="00DB29CF" w:rsidRPr="00213898" w:rsidRDefault="001D7E5C" w:rsidP="00F84B72">
      <w:pPr>
        <w:pStyle w:val="EYBulletedList1"/>
        <w:numPr>
          <w:ilvl w:val="0"/>
          <w:numId w:val="11"/>
        </w:numPr>
        <w:ind w:left="289" w:hanging="289"/>
        <w:jc w:val="both"/>
        <w:rPr>
          <w:rFonts w:eastAsia="Calibri"/>
          <w:sz w:val="22"/>
          <w:lang w:val="pl-PL"/>
        </w:rPr>
      </w:pPr>
      <w:r>
        <w:rPr>
          <w:rFonts w:eastAsia="Calibri"/>
          <w:sz w:val="22"/>
          <w:lang w:val="pl-PL"/>
        </w:rPr>
        <w:t xml:space="preserve">szpitale (w tym np. </w:t>
      </w:r>
      <w:r w:rsidR="007003B2" w:rsidRPr="00213898">
        <w:rPr>
          <w:rFonts w:eastAsia="Calibri"/>
          <w:sz w:val="22"/>
          <w:lang w:val="pl-PL"/>
        </w:rPr>
        <w:t>oddziały nefrologiczne</w:t>
      </w:r>
      <w:r>
        <w:rPr>
          <w:rFonts w:eastAsia="Calibri"/>
          <w:sz w:val="22"/>
          <w:lang w:val="pl-PL"/>
        </w:rPr>
        <w:t>, oddziały internistyczne,</w:t>
      </w:r>
      <w:r w:rsidRPr="001D7E5C">
        <w:rPr>
          <w:rFonts w:eastAsia="Calibri"/>
          <w:sz w:val="22"/>
          <w:szCs w:val="22"/>
          <w:lang w:val="pl-PL"/>
        </w:rPr>
        <w:t xml:space="preserve"> </w:t>
      </w:r>
      <w:r w:rsidRPr="005F0AA4">
        <w:rPr>
          <w:rFonts w:eastAsia="Calibri"/>
          <w:sz w:val="22"/>
          <w:szCs w:val="22"/>
          <w:lang w:val="pl-PL"/>
        </w:rPr>
        <w:t>oddziały chirurgii naczyniowej i oddziały chirurgii ogólnej</w:t>
      </w:r>
      <w:r>
        <w:rPr>
          <w:rFonts w:eastAsia="Calibri"/>
          <w:sz w:val="22"/>
          <w:szCs w:val="22"/>
          <w:lang w:val="pl-PL"/>
        </w:rPr>
        <w:t xml:space="preserve">, </w:t>
      </w:r>
      <w:r>
        <w:rPr>
          <w:rFonts w:eastAsia="Calibri"/>
          <w:sz w:val="22"/>
          <w:lang w:val="pl-PL"/>
        </w:rPr>
        <w:t>oddziały aneste</w:t>
      </w:r>
      <w:r w:rsidR="001845C8">
        <w:rPr>
          <w:rFonts w:eastAsia="Calibri"/>
          <w:sz w:val="22"/>
          <w:lang w:val="pl-PL"/>
        </w:rPr>
        <w:t>zjologii i intensywnej terapii</w:t>
      </w:r>
      <w:r>
        <w:rPr>
          <w:rFonts w:eastAsia="Calibri"/>
          <w:sz w:val="22"/>
          <w:lang w:val="pl-PL"/>
        </w:rPr>
        <w:t>)</w:t>
      </w:r>
    </w:p>
    <w:p w14:paraId="3B7F5375" w14:textId="77777777" w:rsidR="00DB29CF" w:rsidRPr="007003B2" w:rsidRDefault="007003B2" w:rsidP="00F84B72">
      <w:pPr>
        <w:pStyle w:val="EYBulletedList1"/>
        <w:numPr>
          <w:ilvl w:val="0"/>
          <w:numId w:val="11"/>
        </w:numPr>
        <w:ind w:left="289" w:hanging="289"/>
        <w:jc w:val="both"/>
        <w:rPr>
          <w:rFonts w:eastAsia="Calibri"/>
          <w:sz w:val="22"/>
          <w:lang w:val="pl-PL"/>
        </w:rPr>
      </w:pPr>
      <w:r>
        <w:rPr>
          <w:rFonts w:eastAsia="Calibri"/>
          <w:sz w:val="22"/>
          <w:lang w:val="pl-PL"/>
        </w:rPr>
        <w:t>stacje dializ</w:t>
      </w:r>
    </w:p>
    <w:p w14:paraId="1EB175F0" w14:textId="77777777" w:rsidR="00DB29CF" w:rsidRPr="005F0AA4" w:rsidRDefault="007003B2" w:rsidP="00F84B72">
      <w:pPr>
        <w:pStyle w:val="EYBulletedList1"/>
        <w:numPr>
          <w:ilvl w:val="0"/>
          <w:numId w:val="11"/>
        </w:numPr>
        <w:ind w:left="289" w:hanging="289"/>
        <w:jc w:val="both"/>
        <w:rPr>
          <w:rFonts w:eastAsia="Calibri"/>
          <w:sz w:val="22"/>
          <w:szCs w:val="22"/>
          <w:lang w:val="pl-PL"/>
        </w:rPr>
      </w:pPr>
      <w:r w:rsidRPr="007003B2">
        <w:rPr>
          <w:rFonts w:eastAsia="Calibri"/>
          <w:sz w:val="22"/>
          <w:lang w:val="pl-PL"/>
        </w:rPr>
        <w:t>ośrodki transplantacyjne</w:t>
      </w:r>
    </w:p>
    <w:p w14:paraId="19064824" w14:textId="77777777" w:rsidR="00DB29CF" w:rsidRPr="001D7E5C" w:rsidRDefault="007003B2" w:rsidP="00F84B72">
      <w:pPr>
        <w:pStyle w:val="EYBulletedList1"/>
        <w:numPr>
          <w:ilvl w:val="0"/>
          <w:numId w:val="11"/>
        </w:numPr>
        <w:ind w:left="289" w:hanging="289"/>
        <w:jc w:val="both"/>
        <w:rPr>
          <w:rFonts w:eastAsia="Calibri"/>
          <w:sz w:val="22"/>
          <w:lang w:val="pl-PL"/>
        </w:rPr>
      </w:pPr>
      <w:r w:rsidRPr="001D7E5C">
        <w:rPr>
          <w:rFonts w:eastAsia="Calibri"/>
          <w:sz w:val="22"/>
          <w:lang w:val="pl-PL"/>
        </w:rPr>
        <w:t>świadczeniodawc</w:t>
      </w:r>
      <w:r w:rsidR="005F0AA4" w:rsidRPr="001D7E5C">
        <w:rPr>
          <w:rFonts w:eastAsia="Calibri"/>
          <w:sz w:val="22"/>
          <w:lang w:val="pl-PL"/>
        </w:rPr>
        <w:t>ów</w:t>
      </w:r>
      <w:r w:rsidRPr="001D7E5C">
        <w:rPr>
          <w:rFonts w:eastAsia="Calibri"/>
          <w:sz w:val="22"/>
          <w:lang w:val="pl-PL"/>
        </w:rPr>
        <w:t xml:space="preserve"> usług diagnostycznych </w:t>
      </w:r>
      <w:r w:rsidR="005F0AA4" w:rsidRPr="001D7E5C">
        <w:rPr>
          <w:rFonts w:eastAsia="Calibri"/>
          <w:sz w:val="22"/>
          <w:lang w:val="pl-PL"/>
        </w:rPr>
        <w:t>(</w:t>
      </w:r>
      <w:r w:rsidRPr="001D7E5C">
        <w:rPr>
          <w:rFonts w:eastAsia="Calibri"/>
          <w:sz w:val="22"/>
          <w:lang w:val="pl-PL"/>
        </w:rPr>
        <w:t>laboratoryjnych</w:t>
      </w:r>
      <w:r w:rsidR="005F0AA4" w:rsidRPr="001D7E5C">
        <w:rPr>
          <w:rFonts w:eastAsia="Calibri"/>
          <w:sz w:val="22"/>
          <w:lang w:val="pl-PL"/>
        </w:rPr>
        <w:t xml:space="preserve"> i </w:t>
      </w:r>
      <w:r w:rsidRPr="001D7E5C">
        <w:rPr>
          <w:rFonts w:eastAsia="Calibri"/>
          <w:sz w:val="22"/>
          <w:lang w:val="pl-PL"/>
        </w:rPr>
        <w:t>obrazowych</w:t>
      </w:r>
      <w:r w:rsidR="005F0AA4" w:rsidRPr="001D7E5C">
        <w:rPr>
          <w:rFonts w:eastAsia="Calibri"/>
          <w:sz w:val="22"/>
          <w:lang w:val="pl-PL"/>
        </w:rPr>
        <w:t>)</w:t>
      </w:r>
    </w:p>
    <w:p w14:paraId="210A394A" w14:textId="77777777" w:rsidR="00135421" w:rsidRPr="00487C5A" w:rsidRDefault="00236450" w:rsidP="00236450">
      <w:pPr>
        <w:pStyle w:val="EYHeading2"/>
        <w:rPr>
          <w:rFonts w:eastAsia="Calibri"/>
          <w:color w:val="000000" w:themeColor="text1"/>
          <w:lang w:val="pl-PL"/>
        </w:rPr>
      </w:pPr>
      <w:bookmarkStart w:id="80" w:name="_Toc486537923"/>
      <w:r w:rsidRPr="00487C5A">
        <w:rPr>
          <w:rFonts w:eastAsia="Calibri"/>
          <w:color w:val="000000" w:themeColor="text1"/>
          <w:lang w:val="pl-PL"/>
        </w:rPr>
        <w:t>Funkcje i role poszczególnych podmiotów w s</w:t>
      </w:r>
      <w:r w:rsidR="00A4451C" w:rsidRPr="00487C5A">
        <w:rPr>
          <w:rFonts w:eastAsia="Calibri"/>
          <w:color w:val="000000" w:themeColor="text1"/>
          <w:lang w:val="pl-PL"/>
        </w:rPr>
        <w:t>tandardow</w:t>
      </w:r>
      <w:r w:rsidRPr="00487C5A">
        <w:rPr>
          <w:rFonts w:eastAsia="Calibri"/>
          <w:color w:val="000000" w:themeColor="text1"/>
          <w:lang w:val="pl-PL"/>
        </w:rPr>
        <w:t>ej</w:t>
      </w:r>
      <w:r w:rsidR="00A4451C" w:rsidRPr="00487C5A">
        <w:rPr>
          <w:rFonts w:eastAsia="Calibri"/>
          <w:color w:val="000000" w:themeColor="text1"/>
          <w:lang w:val="pl-PL"/>
        </w:rPr>
        <w:t xml:space="preserve"> ścież</w:t>
      </w:r>
      <w:r w:rsidRPr="00487C5A">
        <w:rPr>
          <w:rFonts w:eastAsia="Calibri"/>
          <w:color w:val="000000" w:themeColor="text1"/>
          <w:lang w:val="pl-PL"/>
        </w:rPr>
        <w:t>ce</w:t>
      </w:r>
      <w:r w:rsidR="00A4451C" w:rsidRPr="00487C5A">
        <w:rPr>
          <w:rFonts w:eastAsia="Calibri"/>
          <w:color w:val="000000" w:themeColor="text1"/>
          <w:lang w:val="pl-PL"/>
        </w:rPr>
        <w:t xml:space="preserve"> pacjenta</w:t>
      </w:r>
      <w:r w:rsidRPr="00487C5A">
        <w:rPr>
          <w:rFonts w:eastAsia="Calibri"/>
          <w:color w:val="000000" w:themeColor="text1"/>
          <w:lang w:val="pl-PL"/>
        </w:rPr>
        <w:t xml:space="preserve"> z </w:t>
      </w:r>
      <w:proofErr w:type="spellStart"/>
      <w:r w:rsidRPr="00487C5A">
        <w:rPr>
          <w:rFonts w:eastAsia="Calibri"/>
          <w:color w:val="000000" w:themeColor="text1"/>
          <w:lang w:val="pl-PL"/>
        </w:rPr>
        <w:t>PChN</w:t>
      </w:r>
      <w:proofErr w:type="spellEnd"/>
      <w:r w:rsidRPr="00487C5A">
        <w:rPr>
          <w:rFonts w:eastAsia="Calibri"/>
          <w:color w:val="000000" w:themeColor="text1"/>
          <w:lang w:val="pl-PL"/>
        </w:rPr>
        <w:t xml:space="preserve"> - główne</w:t>
      </w:r>
      <w:r w:rsidRPr="00487C5A">
        <w:rPr>
          <w:color w:val="000000" w:themeColor="text1"/>
          <w:lang w:val="pl-PL"/>
        </w:rPr>
        <w:t xml:space="preserve"> </w:t>
      </w:r>
      <w:r w:rsidRPr="00487C5A">
        <w:rPr>
          <w:rFonts w:eastAsia="Calibri"/>
          <w:color w:val="000000" w:themeColor="text1"/>
          <w:lang w:val="pl-PL"/>
        </w:rPr>
        <w:t xml:space="preserve">tezy problemu </w:t>
      </w:r>
      <w:r w:rsidR="00433513" w:rsidRPr="00487C5A">
        <w:rPr>
          <w:rFonts w:eastAsia="Calibri"/>
          <w:color w:val="000000" w:themeColor="text1"/>
          <w:lang w:val="pl-PL"/>
        </w:rPr>
        <w:t>organizacji opieki</w:t>
      </w:r>
      <w:bookmarkEnd w:id="80"/>
    </w:p>
    <w:p w14:paraId="204485CE" w14:textId="77777777" w:rsidR="00707BCA" w:rsidRDefault="00CF30CF" w:rsidP="00F014C3">
      <w:pPr>
        <w:rPr>
          <w:rFonts w:eastAsia="Calibri"/>
          <w:lang w:val="pl-PL"/>
        </w:rPr>
      </w:pPr>
      <w:r>
        <w:rPr>
          <w:rFonts w:eastAsia="Calibri"/>
          <w:lang w:val="pl-PL"/>
        </w:rPr>
        <w:t>W polskim mod</w:t>
      </w:r>
      <w:r w:rsidR="00433513">
        <w:rPr>
          <w:rFonts w:eastAsia="Calibri"/>
          <w:lang w:val="pl-PL"/>
        </w:rPr>
        <w:t xml:space="preserve">elu opieki pacjent z </w:t>
      </w:r>
      <w:proofErr w:type="spellStart"/>
      <w:r w:rsidR="00433513">
        <w:rPr>
          <w:rFonts w:eastAsia="Calibri"/>
          <w:lang w:val="pl-PL"/>
        </w:rPr>
        <w:t>PChN</w:t>
      </w:r>
      <w:proofErr w:type="spellEnd"/>
      <w:r w:rsidR="00433513">
        <w:rPr>
          <w:rFonts w:eastAsia="Calibri"/>
          <w:lang w:val="pl-PL"/>
        </w:rPr>
        <w:t xml:space="preserve"> </w:t>
      </w:r>
      <w:r>
        <w:rPr>
          <w:rFonts w:eastAsia="Calibri"/>
          <w:lang w:val="pl-PL"/>
        </w:rPr>
        <w:t xml:space="preserve">trafia do systemu </w:t>
      </w:r>
      <w:r w:rsidR="00EF3D7A">
        <w:rPr>
          <w:rFonts w:eastAsia="Calibri"/>
          <w:lang w:val="pl-PL"/>
        </w:rPr>
        <w:t xml:space="preserve">z różnych jego </w:t>
      </w:r>
      <w:r w:rsidR="004D6822">
        <w:rPr>
          <w:rFonts w:eastAsia="Calibri"/>
          <w:lang w:val="pl-PL"/>
        </w:rPr>
        <w:t>poziomów</w:t>
      </w:r>
      <w:r w:rsidR="00EF3D7A">
        <w:rPr>
          <w:rFonts w:eastAsia="Calibri"/>
          <w:lang w:val="pl-PL"/>
        </w:rPr>
        <w:t xml:space="preserve"> (POZ, </w:t>
      </w:r>
      <w:r w:rsidR="008F566E">
        <w:rPr>
          <w:rFonts w:eastAsia="Calibri"/>
          <w:lang w:val="pl-PL"/>
        </w:rPr>
        <w:t xml:space="preserve">AOS, </w:t>
      </w:r>
      <w:r w:rsidR="00EF3D7A">
        <w:rPr>
          <w:rFonts w:eastAsia="Calibri"/>
          <w:lang w:val="pl-PL"/>
        </w:rPr>
        <w:t xml:space="preserve">szpital) oraz </w:t>
      </w:r>
      <w:r>
        <w:rPr>
          <w:rFonts w:eastAsia="Calibri"/>
          <w:lang w:val="pl-PL"/>
        </w:rPr>
        <w:t xml:space="preserve">w różnych stadiach zaawansowania choroby (przeważnie już w zaawansowanym). </w:t>
      </w:r>
      <w:r w:rsidR="00EF3D7A">
        <w:rPr>
          <w:rFonts w:eastAsia="Calibri"/>
          <w:lang w:val="pl-PL"/>
        </w:rPr>
        <w:t xml:space="preserve">Brak usystematyzowanego podejścia </w:t>
      </w:r>
      <w:r w:rsidR="00C70E6E">
        <w:rPr>
          <w:rFonts w:eastAsia="Calibri"/>
          <w:lang w:val="pl-PL"/>
        </w:rPr>
        <w:t xml:space="preserve">do opieki nad pacjentem z </w:t>
      </w:r>
      <w:proofErr w:type="spellStart"/>
      <w:r w:rsidR="00C70E6E">
        <w:rPr>
          <w:rFonts w:eastAsia="Calibri"/>
          <w:lang w:val="pl-PL"/>
        </w:rPr>
        <w:t>PChN</w:t>
      </w:r>
      <w:proofErr w:type="spellEnd"/>
      <w:r w:rsidR="00C70E6E">
        <w:rPr>
          <w:rFonts w:eastAsia="Calibri"/>
          <w:lang w:val="pl-PL"/>
        </w:rPr>
        <w:t xml:space="preserve"> </w:t>
      </w:r>
      <w:r w:rsidR="00EF3D7A">
        <w:rPr>
          <w:rFonts w:eastAsia="Calibri"/>
          <w:lang w:val="pl-PL"/>
        </w:rPr>
        <w:t>oraz nieodczuwalny</w:t>
      </w:r>
      <w:r w:rsidR="00C70E6E">
        <w:rPr>
          <w:rFonts w:eastAsia="Calibri"/>
          <w:lang w:val="pl-PL"/>
        </w:rPr>
        <w:t xml:space="preserve">, </w:t>
      </w:r>
      <w:r w:rsidR="00EF3D7A">
        <w:rPr>
          <w:rFonts w:eastAsia="Calibri"/>
          <w:lang w:val="pl-PL"/>
        </w:rPr>
        <w:t>prawie bezobjawowy</w:t>
      </w:r>
      <w:r w:rsidR="005B744B">
        <w:rPr>
          <w:rFonts w:eastAsia="Calibri"/>
          <w:lang w:val="pl-PL"/>
        </w:rPr>
        <w:t xml:space="preserve"> (bądź z objawami nieswoistymi)</w:t>
      </w:r>
      <w:r w:rsidR="00EF3D7A">
        <w:rPr>
          <w:rFonts w:eastAsia="Calibri"/>
          <w:lang w:val="pl-PL"/>
        </w:rPr>
        <w:t xml:space="preserve"> przebieg wczesnych stadiów choroby sprawiają, że </w:t>
      </w:r>
      <w:r w:rsidR="00C70E6E">
        <w:rPr>
          <w:rFonts w:eastAsia="Calibri"/>
          <w:lang w:val="pl-PL"/>
        </w:rPr>
        <w:t xml:space="preserve">dopiero </w:t>
      </w:r>
      <w:r w:rsidR="00EF3D7A">
        <w:rPr>
          <w:rFonts w:eastAsia="Calibri"/>
          <w:lang w:val="pl-PL"/>
        </w:rPr>
        <w:t xml:space="preserve">pacjent </w:t>
      </w:r>
      <w:r w:rsidR="00C70E6E">
        <w:rPr>
          <w:rFonts w:eastAsia="Calibri"/>
          <w:lang w:val="pl-PL"/>
        </w:rPr>
        <w:t>z nasilonymi objawami</w:t>
      </w:r>
      <w:r w:rsidR="005B744B">
        <w:rPr>
          <w:rFonts w:eastAsia="Calibri"/>
          <w:lang w:val="pl-PL"/>
        </w:rPr>
        <w:t xml:space="preserve"> </w:t>
      </w:r>
      <w:proofErr w:type="spellStart"/>
      <w:r w:rsidR="005B744B">
        <w:rPr>
          <w:rFonts w:eastAsia="Calibri"/>
          <w:lang w:val="pl-PL"/>
        </w:rPr>
        <w:t>PChN</w:t>
      </w:r>
      <w:proofErr w:type="spellEnd"/>
      <w:r w:rsidR="00C70E6E">
        <w:rPr>
          <w:rFonts w:eastAsia="Calibri"/>
          <w:lang w:val="pl-PL"/>
        </w:rPr>
        <w:t xml:space="preserve"> </w:t>
      </w:r>
      <w:r w:rsidR="00EF3D7A">
        <w:rPr>
          <w:rFonts w:eastAsia="Calibri"/>
          <w:lang w:val="pl-PL"/>
        </w:rPr>
        <w:t>zostaje</w:t>
      </w:r>
      <w:r w:rsidR="007500DD">
        <w:rPr>
          <w:rFonts w:eastAsia="Calibri"/>
          <w:lang w:val="pl-PL"/>
        </w:rPr>
        <w:t xml:space="preserve"> odpowiednio</w:t>
      </w:r>
      <w:r w:rsidR="00EF3D7A">
        <w:rPr>
          <w:rFonts w:eastAsia="Calibri"/>
          <w:lang w:val="pl-PL"/>
        </w:rPr>
        <w:t xml:space="preserve"> zdiagnozowany</w:t>
      </w:r>
      <w:r w:rsidR="005B744B">
        <w:rPr>
          <w:rFonts w:eastAsia="Calibri"/>
          <w:lang w:val="pl-PL"/>
        </w:rPr>
        <w:t xml:space="preserve"> </w:t>
      </w:r>
      <w:r w:rsidR="00C70E6E">
        <w:rPr>
          <w:rFonts w:eastAsia="Calibri"/>
          <w:lang w:val="pl-PL"/>
        </w:rPr>
        <w:t>i poddany właściwemu leczeniu</w:t>
      </w:r>
      <w:r w:rsidR="0096723C">
        <w:rPr>
          <w:rFonts w:eastAsia="Calibri"/>
          <w:lang w:val="pl-PL"/>
        </w:rPr>
        <w:t>.</w:t>
      </w:r>
    </w:p>
    <w:p w14:paraId="7FCDF2F8" w14:textId="796361F4" w:rsidR="00C76574" w:rsidRDefault="007F55A9" w:rsidP="00C76574">
      <w:pPr>
        <w:pStyle w:val="EYBulletedList1"/>
        <w:numPr>
          <w:ilvl w:val="0"/>
          <w:numId w:val="0"/>
        </w:numPr>
        <w:jc w:val="both"/>
        <w:rPr>
          <w:rFonts w:eastAsia="Calibri"/>
          <w:sz w:val="22"/>
          <w:lang w:val="pl-PL"/>
        </w:rPr>
      </w:pPr>
      <w:r>
        <w:rPr>
          <w:rFonts w:eastAsia="Calibri"/>
          <w:sz w:val="22"/>
          <w:lang w:val="pl-PL"/>
        </w:rPr>
        <w:t xml:space="preserve">Tabela </w:t>
      </w:r>
      <w:r w:rsidR="001E35A3">
        <w:rPr>
          <w:rFonts w:eastAsia="Calibri"/>
          <w:sz w:val="22"/>
          <w:lang w:val="pl-PL"/>
        </w:rPr>
        <w:t>1</w:t>
      </w:r>
      <w:r w:rsidR="004728B7">
        <w:rPr>
          <w:rFonts w:eastAsia="Calibri"/>
          <w:sz w:val="22"/>
          <w:lang w:val="pl-PL"/>
        </w:rPr>
        <w:t>4</w:t>
      </w:r>
      <w:r>
        <w:rPr>
          <w:rFonts w:eastAsia="Calibri"/>
          <w:sz w:val="22"/>
          <w:lang w:val="pl-PL"/>
        </w:rPr>
        <w:t xml:space="preserve"> przedstawia </w:t>
      </w:r>
      <w:r w:rsidR="00577774">
        <w:rPr>
          <w:rFonts w:eastAsia="Calibri"/>
          <w:sz w:val="22"/>
          <w:lang w:val="pl-PL"/>
        </w:rPr>
        <w:t>poziomy</w:t>
      </w:r>
      <w:r w:rsidR="008F566E">
        <w:rPr>
          <w:rFonts w:eastAsia="Calibri"/>
          <w:sz w:val="22"/>
          <w:lang w:val="pl-PL"/>
        </w:rPr>
        <w:t xml:space="preserve"> </w:t>
      </w:r>
      <w:r w:rsidR="00E56111">
        <w:rPr>
          <w:rFonts w:eastAsia="Calibri"/>
          <w:sz w:val="22"/>
          <w:lang w:val="pl-PL"/>
        </w:rPr>
        <w:t>p</w:t>
      </w:r>
      <w:r>
        <w:rPr>
          <w:rFonts w:eastAsia="Calibri"/>
          <w:sz w:val="22"/>
          <w:lang w:val="pl-PL"/>
        </w:rPr>
        <w:t xml:space="preserve">rofilaktyki </w:t>
      </w:r>
      <w:r w:rsidR="006924C9">
        <w:rPr>
          <w:rFonts w:eastAsia="Calibri"/>
          <w:sz w:val="22"/>
          <w:lang w:val="pl-PL"/>
        </w:rPr>
        <w:t xml:space="preserve">zdrowotnej </w:t>
      </w:r>
      <w:proofErr w:type="spellStart"/>
      <w:r w:rsidR="004E6610">
        <w:rPr>
          <w:rFonts w:eastAsia="Calibri"/>
          <w:sz w:val="22"/>
          <w:lang w:val="pl-PL"/>
        </w:rPr>
        <w:t>PChN</w:t>
      </w:r>
      <w:proofErr w:type="spellEnd"/>
      <w:r w:rsidR="001E35A3">
        <w:rPr>
          <w:rFonts w:eastAsia="Calibri"/>
          <w:sz w:val="22"/>
          <w:lang w:val="pl-PL"/>
        </w:rPr>
        <w:t xml:space="preserve"> </w:t>
      </w:r>
      <w:r>
        <w:rPr>
          <w:rFonts w:eastAsia="Calibri"/>
          <w:sz w:val="22"/>
          <w:lang w:val="pl-PL"/>
        </w:rPr>
        <w:t xml:space="preserve">w podziale na świadczeniodawców odpowiedzialnych za poszczególne </w:t>
      </w:r>
      <w:r w:rsidR="00577774">
        <w:rPr>
          <w:rFonts w:eastAsia="Calibri"/>
          <w:sz w:val="22"/>
          <w:lang w:val="pl-PL"/>
        </w:rPr>
        <w:t>poziomy</w:t>
      </w:r>
      <w:r>
        <w:rPr>
          <w:rFonts w:eastAsia="Calibri"/>
          <w:sz w:val="22"/>
          <w:lang w:val="pl-PL"/>
        </w:rPr>
        <w:t xml:space="preserve"> </w:t>
      </w:r>
      <w:r w:rsidR="00E56111">
        <w:rPr>
          <w:rFonts w:eastAsia="Calibri"/>
          <w:sz w:val="22"/>
          <w:lang w:val="pl-PL"/>
        </w:rPr>
        <w:t>wraz</w:t>
      </w:r>
      <w:r>
        <w:rPr>
          <w:rFonts w:eastAsia="Calibri"/>
          <w:sz w:val="22"/>
          <w:lang w:val="pl-PL"/>
        </w:rPr>
        <w:t xml:space="preserve"> z </w:t>
      </w:r>
      <w:r w:rsidR="008F566E">
        <w:rPr>
          <w:rFonts w:eastAsia="Calibri"/>
          <w:sz w:val="22"/>
          <w:lang w:val="pl-PL"/>
        </w:rPr>
        <w:t>opisem</w:t>
      </w:r>
      <w:r>
        <w:rPr>
          <w:rFonts w:eastAsia="Calibri"/>
          <w:sz w:val="22"/>
          <w:lang w:val="pl-PL"/>
        </w:rPr>
        <w:t xml:space="preserve"> rzeczywistego</w:t>
      </w:r>
      <w:r w:rsidR="004E6610">
        <w:rPr>
          <w:rFonts w:eastAsia="Calibri"/>
          <w:sz w:val="22"/>
          <w:lang w:val="pl-PL"/>
        </w:rPr>
        <w:t xml:space="preserve"> i aktualnego</w:t>
      </w:r>
      <w:r>
        <w:rPr>
          <w:rFonts w:eastAsia="Calibri"/>
          <w:sz w:val="22"/>
          <w:lang w:val="pl-PL"/>
        </w:rPr>
        <w:t xml:space="preserve"> podejścia</w:t>
      </w:r>
      <w:r w:rsidR="008F566E">
        <w:rPr>
          <w:rFonts w:eastAsia="Calibri"/>
          <w:sz w:val="22"/>
          <w:lang w:val="pl-PL"/>
        </w:rPr>
        <w:t xml:space="preserve"> </w:t>
      </w:r>
      <w:r w:rsidR="004E6610">
        <w:rPr>
          <w:rFonts w:eastAsia="Calibri"/>
          <w:sz w:val="22"/>
          <w:lang w:val="pl-PL"/>
        </w:rPr>
        <w:t xml:space="preserve">w Polsce </w:t>
      </w:r>
      <w:r w:rsidR="008F566E">
        <w:rPr>
          <w:rFonts w:eastAsia="Calibri"/>
          <w:sz w:val="22"/>
          <w:lang w:val="pl-PL"/>
        </w:rPr>
        <w:t xml:space="preserve">w zakresie podejmowanych </w:t>
      </w:r>
      <w:r>
        <w:rPr>
          <w:rFonts w:eastAsia="Calibri"/>
          <w:sz w:val="22"/>
          <w:lang w:val="pl-PL"/>
        </w:rPr>
        <w:t>działań</w:t>
      </w:r>
      <w:r w:rsidR="004E6610">
        <w:rPr>
          <w:rFonts w:eastAsia="Calibri"/>
          <w:sz w:val="22"/>
          <w:lang w:val="pl-PL"/>
        </w:rPr>
        <w:t xml:space="preserve"> </w:t>
      </w:r>
      <w:r w:rsidR="008A79E0">
        <w:rPr>
          <w:rFonts w:eastAsia="Calibri"/>
          <w:sz w:val="22"/>
          <w:lang w:val="pl-PL"/>
        </w:rPr>
        <w:t>w systemie</w:t>
      </w:r>
      <w:r w:rsidR="004E6610">
        <w:rPr>
          <w:rFonts w:eastAsia="Calibri"/>
          <w:sz w:val="22"/>
          <w:lang w:val="pl-PL"/>
        </w:rPr>
        <w:t xml:space="preserve"> ochrony zdrowia</w:t>
      </w:r>
      <w:r>
        <w:rPr>
          <w:rFonts w:eastAsia="Calibri"/>
          <w:sz w:val="22"/>
          <w:lang w:val="pl-PL"/>
        </w:rPr>
        <w:t>.</w:t>
      </w:r>
    </w:p>
    <w:p w14:paraId="1AEF0AB5" w14:textId="77777777" w:rsidR="001C57A3" w:rsidRDefault="001C57A3">
      <w:pPr>
        <w:widowControl/>
        <w:autoSpaceDE/>
        <w:autoSpaceDN/>
        <w:adjustRightInd/>
        <w:spacing w:before="0" w:after="0" w:line="240" w:lineRule="auto"/>
        <w:jc w:val="left"/>
        <w:rPr>
          <w:b/>
          <w:iCs/>
          <w:sz w:val="18"/>
          <w:szCs w:val="18"/>
          <w:lang w:val="pl-PL"/>
        </w:rPr>
      </w:pPr>
      <w:r>
        <w:rPr>
          <w:b/>
          <w:i/>
          <w:lang w:val="pl-PL"/>
        </w:rPr>
        <w:br w:type="page"/>
      </w:r>
    </w:p>
    <w:p w14:paraId="5F7A89E9" w14:textId="74B1D230" w:rsidR="001C57A3" w:rsidRPr="001C57A3" w:rsidRDefault="001C57A3" w:rsidP="001C57A3">
      <w:pPr>
        <w:pStyle w:val="Legenda"/>
        <w:keepNext/>
        <w:rPr>
          <w:b/>
          <w:i w:val="0"/>
          <w:color w:val="auto"/>
          <w:lang w:val="pl-PL"/>
        </w:rPr>
      </w:pPr>
      <w:bookmarkStart w:id="81" w:name="_Toc486537977"/>
      <w:r w:rsidRPr="001C57A3">
        <w:rPr>
          <w:b/>
          <w:i w:val="0"/>
          <w:color w:val="auto"/>
          <w:lang w:val="pl-PL"/>
        </w:rPr>
        <w:lastRenderedPageBreak/>
        <w:t xml:space="preserve">Tabela </w:t>
      </w:r>
      <w:r w:rsidRPr="001C57A3">
        <w:rPr>
          <w:b/>
          <w:i w:val="0"/>
          <w:color w:val="auto"/>
        </w:rPr>
        <w:fldChar w:fldCharType="begin"/>
      </w:r>
      <w:r w:rsidRPr="001C57A3">
        <w:rPr>
          <w:b/>
          <w:i w:val="0"/>
          <w:color w:val="auto"/>
          <w:lang w:val="pl-PL"/>
        </w:rPr>
        <w:instrText xml:space="preserve"> SEQ Tabela \* ARABIC </w:instrText>
      </w:r>
      <w:r w:rsidRPr="001C57A3">
        <w:rPr>
          <w:b/>
          <w:i w:val="0"/>
          <w:color w:val="auto"/>
        </w:rPr>
        <w:fldChar w:fldCharType="separate"/>
      </w:r>
      <w:r w:rsidR="005C7285">
        <w:rPr>
          <w:b/>
          <w:i w:val="0"/>
          <w:noProof/>
          <w:color w:val="auto"/>
          <w:lang w:val="pl-PL"/>
        </w:rPr>
        <w:t>14</w:t>
      </w:r>
      <w:r w:rsidRPr="001C57A3">
        <w:rPr>
          <w:b/>
          <w:i w:val="0"/>
          <w:color w:val="auto"/>
        </w:rPr>
        <w:fldChar w:fldCharType="end"/>
      </w:r>
      <w:r w:rsidRPr="001C57A3">
        <w:rPr>
          <w:b/>
          <w:i w:val="0"/>
          <w:color w:val="auto"/>
          <w:lang w:val="pl-PL"/>
        </w:rPr>
        <w:t xml:space="preserve"> Opieka nad pacjentem z </w:t>
      </w:r>
      <w:proofErr w:type="spellStart"/>
      <w:r w:rsidRPr="001C57A3">
        <w:rPr>
          <w:b/>
          <w:i w:val="0"/>
          <w:color w:val="auto"/>
          <w:lang w:val="pl-PL"/>
        </w:rPr>
        <w:t>PChN</w:t>
      </w:r>
      <w:proofErr w:type="spellEnd"/>
      <w:r w:rsidRPr="001C57A3">
        <w:rPr>
          <w:b/>
          <w:i w:val="0"/>
          <w:color w:val="auto"/>
          <w:lang w:val="pl-PL"/>
        </w:rPr>
        <w:t xml:space="preserve"> w Polsce w podziale na trzy </w:t>
      </w:r>
      <w:r w:rsidR="00577774">
        <w:rPr>
          <w:b/>
          <w:i w:val="0"/>
          <w:color w:val="auto"/>
          <w:lang w:val="pl-PL"/>
        </w:rPr>
        <w:t>poziomy</w:t>
      </w:r>
      <w:r w:rsidRPr="001C57A3">
        <w:rPr>
          <w:b/>
          <w:i w:val="0"/>
          <w:color w:val="auto"/>
          <w:lang w:val="pl-PL"/>
        </w:rPr>
        <w:t xml:space="preserve"> profilaktyki</w:t>
      </w:r>
      <w:bookmarkEnd w:id="81"/>
    </w:p>
    <w:tbl>
      <w:tblPr>
        <w:tblStyle w:val="Tabela-Siatka"/>
        <w:tblW w:w="0" w:type="auto"/>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10"/>
        <w:gridCol w:w="2461"/>
        <w:gridCol w:w="4111"/>
      </w:tblGrid>
      <w:tr w:rsidR="008F566E" w:rsidRPr="00C57815" w14:paraId="37765106" w14:textId="77777777" w:rsidTr="001C57A3">
        <w:tc>
          <w:tcPr>
            <w:tcW w:w="8982" w:type="dxa"/>
            <w:gridSpan w:val="3"/>
            <w:shd w:val="clear" w:color="auto" w:fill="FFE600"/>
          </w:tcPr>
          <w:p w14:paraId="7B098669" w14:textId="77777777" w:rsidR="008F566E" w:rsidRPr="0002448D" w:rsidRDefault="008F566E" w:rsidP="00EA3DA5">
            <w:pPr>
              <w:spacing w:before="60" w:after="60" w:line="240" w:lineRule="auto"/>
              <w:jc w:val="left"/>
              <w:rPr>
                <w:rFonts w:eastAsia="Calibri"/>
                <w:b/>
                <w:sz w:val="18"/>
                <w:szCs w:val="18"/>
                <w:lang w:val="pl-PL"/>
              </w:rPr>
            </w:pPr>
            <w:r w:rsidRPr="00EA3DA5">
              <w:rPr>
                <w:rFonts w:eastAsia="Calibri"/>
                <w:b/>
                <w:sz w:val="18"/>
                <w:szCs w:val="18"/>
                <w:lang w:val="pl-PL"/>
              </w:rPr>
              <w:t xml:space="preserve">Realizacja zadań w zakresie profilaktyki zdrowotnej </w:t>
            </w:r>
            <w:proofErr w:type="spellStart"/>
            <w:r w:rsidRPr="00EA3DA5">
              <w:rPr>
                <w:rFonts w:eastAsia="Calibri"/>
                <w:b/>
                <w:sz w:val="18"/>
                <w:szCs w:val="18"/>
                <w:lang w:val="pl-PL"/>
              </w:rPr>
              <w:t>PChN</w:t>
            </w:r>
            <w:proofErr w:type="spellEnd"/>
            <w:r w:rsidRPr="00EA3DA5">
              <w:rPr>
                <w:rFonts w:eastAsia="Calibri"/>
                <w:b/>
                <w:sz w:val="18"/>
                <w:szCs w:val="18"/>
                <w:lang w:val="pl-PL"/>
              </w:rPr>
              <w:t xml:space="preserve"> w Polsce</w:t>
            </w:r>
          </w:p>
        </w:tc>
      </w:tr>
      <w:tr w:rsidR="008F566E" w:rsidRPr="00213898" w14:paraId="3F5ACDDA" w14:textId="77777777" w:rsidTr="001C57A3">
        <w:tc>
          <w:tcPr>
            <w:tcW w:w="2410" w:type="dxa"/>
            <w:shd w:val="clear" w:color="auto" w:fill="F2F2F2" w:themeFill="background1" w:themeFillShade="F2"/>
            <w:vAlign w:val="center"/>
          </w:tcPr>
          <w:p w14:paraId="510F15CA" w14:textId="77777777" w:rsidR="008C32D8" w:rsidRDefault="00577774" w:rsidP="008C32D8">
            <w:pPr>
              <w:spacing w:before="60" w:after="60" w:line="240" w:lineRule="auto"/>
              <w:jc w:val="left"/>
              <w:rPr>
                <w:rFonts w:eastAsia="Calibri"/>
                <w:b/>
                <w:sz w:val="18"/>
                <w:szCs w:val="18"/>
                <w:lang w:val="pl-PL"/>
              </w:rPr>
            </w:pPr>
            <w:r>
              <w:rPr>
                <w:rFonts w:eastAsia="Calibri"/>
                <w:b/>
                <w:sz w:val="18"/>
                <w:szCs w:val="18"/>
                <w:lang w:val="pl-PL"/>
              </w:rPr>
              <w:t>Poziom</w:t>
            </w:r>
            <w:r w:rsidR="008F566E">
              <w:rPr>
                <w:rFonts w:eastAsia="Calibri"/>
                <w:b/>
                <w:sz w:val="18"/>
                <w:szCs w:val="18"/>
                <w:lang w:val="pl-PL"/>
              </w:rPr>
              <w:t xml:space="preserve"> profilaktyki</w:t>
            </w:r>
          </w:p>
          <w:p w14:paraId="4AC3D294" w14:textId="77777777" w:rsidR="008F566E" w:rsidRDefault="008F566E" w:rsidP="008C32D8">
            <w:pPr>
              <w:spacing w:before="60" w:after="60" w:line="240" w:lineRule="auto"/>
              <w:jc w:val="left"/>
              <w:rPr>
                <w:rFonts w:eastAsia="Calibri"/>
                <w:b/>
                <w:sz w:val="18"/>
                <w:szCs w:val="18"/>
                <w:lang w:val="pl-PL"/>
              </w:rPr>
            </w:pPr>
            <w:r>
              <w:rPr>
                <w:rFonts w:eastAsia="Calibri"/>
                <w:b/>
                <w:sz w:val="18"/>
                <w:szCs w:val="18"/>
                <w:lang w:val="pl-PL"/>
              </w:rPr>
              <w:t>- główny cel</w:t>
            </w:r>
          </w:p>
          <w:p w14:paraId="55725CB1" w14:textId="77777777" w:rsidR="006633F9" w:rsidRPr="00602625" w:rsidRDefault="006633F9" w:rsidP="008C32D8">
            <w:pPr>
              <w:spacing w:before="60" w:after="60" w:line="240" w:lineRule="auto"/>
              <w:jc w:val="left"/>
              <w:rPr>
                <w:rFonts w:eastAsia="Calibri"/>
                <w:b/>
                <w:sz w:val="18"/>
                <w:szCs w:val="18"/>
                <w:lang w:val="pl-PL"/>
              </w:rPr>
            </w:pPr>
            <w:r>
              <w:rPr>
                <w:rFonts w:eastAsia="Calibri"/>
                <w:b/>
                <w:sz w:val="18"/>
                <w:szCs w:val="18"/>
                <w:lang w:val="pl-PL"/>
              </w:rPr>
              <w:t>- docelowa populacja</w:t>
            </w:r>
          </w:p>
        </w:tc>
        <w:tc>
          <w:tcPr>
            <w:tcW w:w="2461" w:type="dxa"/>
            <w:shd w:val="clear" w:color="auto" w:fill="F2F2F2" w:themeFill="background1" w:themeFillShade="F2"/>
            <w:vAlign w:val="center"/>
          </w:tcPr>
          <w:p w14:paraId="1F5AE5D8" w14:textId="77777777" w:rsidR="006633F9" w:rsidRPr="006A51D6" w:rsidRDefault="006633F9" w:rsidP="008C32D8">
            <w:pPr>
              <w:spacing w:before="60" w:after="60" w:line="240" w:lineRule="auto"/>
              <w:jc w:val="center"/>
              <w:rPr>
                <w:b/>
                <w:sz w:val="18"/>
                <w:szCs w:val="18"/>
                <w:lang w:val="pl-PL"/>
              </w:rPr>
            </w:pPr>
            <w:r w:rsidRPr="006A51D6">
              <w:rPr>
                <w:b/>
                <w:sz w:val="18"/>
                <w:szCs w:val="18"/>
                <w:lang w:val="pl-PL"/>
              </w:rPr>
              <w:t>R</w:t>
            </w:r>
            <w:r w:rsidR="008F566E" w:rsidRPr="006A51D6">
              <w:rPr>
                <w:b/>
                <w:sz w:val="18"/>
                <w:szCs w:val="18"/>
                <w:lang w:val="pl-PL"/>
              </w:rPr>
              <w:t>ealizato</w:t>
            </w:r>
            <w:r w:rsidR="004E6610" w:rsidRPr="006A51D6">
              <w:rPr>
                <w:b/>
                <w:sz w:val="18"/>
                <w:szCs w:val="18"/>
                <w:lang w:val="pl-PL"/>
              </w:rPr>
              <w:t>rzy</w:t>
            </w:r>
          </w:p>
          <w:p w14:paraId="7D304663" w14:textId="77777777" w:rsidR="008F566E" w:rsidRPr="006A51D6" w:rsidRDefault="006633F9" w:rsidP="008C32D8">
            <w:pPr>
              <w:spacing w:before="60" w:after="60" w:line="240" w:lineRule="auto"/>
              <w:jc w:val="center"/>
              <w:rPr>
                <w:rFonts w:eastAsia="Calibri"/>
                <w:b/>
                <w:sz w:val="18"/>
                <w:szCs w:val="18"/>
                <w:lang w:val="pl-PL"/>
              </w:rPr>
            </w:pPr>
            <w:r w:rsidRPr="006A51D6">
              <w:rPr>
                <w:b/>
                <w:sz w:val="18"/>
                <w:szCs w:val="18"/>
                <w:lang w:val="pl-PL"/>
              </w:rPr>
              <w:t>(świadczeniodawc</w:t>
            </w:r>
            <w:r w:rsidR="00577774">
              <w:rPr>
                <w:b/>
                <w:sz w:val="18"/>
                <w:szCs w:val="18"/>
                <w:lang w:val="pl-PL"/>
              </w:rPr>
              <w:t>y</w:t>
            </w:r>
            <w:r w:rsidR="008F566E" w:rsidRPr="006A51D6">
              <w:rPr>
                <w:b/>
                <w:sz w:val="18"/>
                <w:szCs w:val="18"/>
                <w:lang w:val="pl-PL"/>
              </w:rPr>
              <w:t>)</w:t>
            </w:r>
          </w:p>
        </w:tc>
        <w:tc>
          <w:tcPr>
            <w:tcW w:w="4111" w:type="dxa"/>
            <w:shd w:val="clear" w:color="auto" w:fill="F2F2F2" w:themeFill="background1" w:themeFillShade="F2"/>
            <w:vAlign w:val="center"/>
          </w:tcPr>
          <w:p w14:paraId="400949A3" w14:textId="77777777" w:rsidR="008F566E" w:rsidRPr="006A51D6" w:rsidRDefault="008F566E" w:rsidP="008C32D8">
            <w:pPr>
              <w:pStyle w:val="EYBulletedList1"/>
              <w:numPr>
                <w:ilvl w:val="0"/>
                <w:numId w:val="0"/>
              </w:numPr>
              <w:spacing w:beforeLines="20" w:before="48" w:afterLines="20" w:after="48"/>
              <w:jc w:val="center"/>
              <w:rPr>
                <w:b/>
                <w:sz w:val="18"/>
                <w:szCs w:val="18"/>
                <w:lang w:val="pl-PL"/>
              </w:rPr>
            </w:pPr>
            <w:r w:rsidRPr="006A51D6">
              <w:rPr>
                <w:b/>
                <w:sz w:val="18"/>
                <w:szCs w:val="18"/>
                <w:lang w:val="pl-PL"/>
              </w:rPr>
              <w:t>Opis</w:t>
            </w:r>
          </w:p>
        </w:tc>
      </w:tr>
      <w:tr w:rsidR="008F566E" w:rsidRPr="00C57815" w14:paraId="505172EC" w14:textId="77777777" w:rsidTr="001C57A3">
        <w:tc>
          <w:tcPr>
            <w:tcW w:w="2410" w:type="dxa"/>
            <w:shd w:val="clear" w:color="auto" w:fill="auto"/>
          </w:tcPr>
          <w:p w14:paraId="199803A8" w14:textId="77777777" w:rsidR="008F566E" w:rsidRDefault="00577774" w:rsidP="008F566E">
            <w:pPr>
              <w:pStyle w:val="EYBulletedList1"/>
              <w:numPr>
                <w:ilvl w:val="0"/>
                <w:numId w:val="0"/>
              </w:numPr>
              <w:spacing w:beforeLines="20" w:before="48" w:afterLines="20" w:after="48"/>
              <w:rPr>
                <w:sz w:val="18"/>
                <w:szCs w:val="18"/>
                <w:lang w:val="pl-PL"/>
              </w:rPr>
            </w:pPr>
            <w:r>
              <w:rPr>
                <w:sz w:val="18"/>
                <w:szCs w:val="18"/>
                <w:lang w:val="pl-PL"/>
              </w:rPr>
              <w:t>Profilaktyka pierwszorzędowa</w:t>
            </w:r>
            <w:r>
              <w:rPr>
                <w:sz w:val="18"/>
                <w:szCs w:val="18"/>
                <w:lang w:val="pl-PL"/>
              </w:rPr>
              <w:br/>
            </w:r>
            <w:r w:rsidR="008F566E">
              <w:rPr>
                <w:sz w:val="18"/>
                <w:szCs w:val="18"/>
                <w:lang w:val="pl-PL"/>
              </w:rPr>
              <w:t>(pierwotna)</w:t>
            </w:r>
          </w:p>
          <w:p w14:paraId="77D1073D" w14:textId="77777777" w:rsidR="008F566E" w:rsidRDefault="008F566E" w:rsidP="008F566E">
            <w:pPr>
              <w:pStyle w:val="EYBulletedList1"/>
              <w:numPr>
                <w:ilvl w:val="0"/>
                <w:numId w:val="0"/>
              </w:numPr>
              <w:spacing w:beforeLines="20" w:before="48" w:afterLines="20" w:after="48"/>
              <w:rPr>
                <w:sz w:val="18"/>
                <w:szCs w:val="18"/>
                <w:lang w:val="pl-PL"/>
              </w:rPr>
            </w:pPr>
            <w:r>
              <w:rPr>
                <w:sz w:val="18"/>
                <w:szCs w:val="18"/>
                <w:lang w:val="pl-PL"/>
              </w:rPr>
              <w:t xml:space="preserve">- zapobieganie </w:t>
            </w:r>
            <w:proofErr w:type="spellStart"/>
            <w:r>
              <w:rPr>
                <w:sz w:val="18"/>
                <w:szCs w:val="18"/>
                <w:lang w:val="pl-PL"/>
              </w:rPr>
              <w:t>PChN</w:t>
            </w:r>
            <w:proofErr w:type="spellEnd"/>
          </w:p>
          <w:p w14:paraId="290FACBE" w14:textId="77777777" w:rsidR="006633F9" w:rsidRPr="00AF1589" w:rsidRDefault="006633F9" w:rsidP="008F566E">
            <w:pPr>
              <w:pStyle w:val="EYBulletedList1"/>
              <w:numPr>
                <w:ilvl w:val="0"/>
                <w:numId w:val="0"/>
              </w:numPr>
              <w:spacing w:beforeLines="20" w:before="48" w:afterLines="20" w:after="48"/>
              <w:rPr>
                <w:sz w:val="18"/>
                <w:szCs w:val="18"/>
                <w:lang w:val="pl-PL"/>
              </w:rPr>
            </w:pPr>
            <w:r>
              <w:rPr>
                <w:sz w:val="18"/>
                <w:szCs w:val="18"/>
                <w:lang w:val="pl-PL"/>
              </w:rPr>
              <w:t>- cała populacja</w:t>
            </w:r>
          </w:p>
        </w:tc>
        <w:tc>
          <w:tcPr>
            <w:tcW w:w="2461" w:type="dxa"/>
            <w:shd w:val="clear" w:color="auto" w:fill="auto"/>
          </w:tcPr>
          <w:p w14:paraId="5962B8FB" w14:textId="77777777" w:rsidR="000E3061" w:rsidRPr="00487C5A" w:rsidRDefault="000E3061" w:rsidP="00F84B72">
            <w:pPr>
              <w:pStyle w:val="EYBulletedList1"/>
              <w:numPr>
                <w:ilvl w:val="0"/>
                <w:numId w:val="11"/>
              </w:numPr>
              <w:spacing w:beforeLines="20" w:before="48" w:afterLines="20" w:after="48"/>
              <w:rPr>
                <w:color w:val="000000" w:themeColor="text1"/>
                <w:sz w:val="18"/>
                <w:szCs w:val="18"/>
                <w:lang w:val="pl-PL"/>
              </w:rPr>
            </w:pPr>
            <w:r w:rsidRPr="00487C5A">
              <w:rPr>
                <w:color w:val="000000" w:themeColor="text1"/>
                <w:sz w:val="18"/>
                <w:szCs w:val="18"/>
                <w:lang w:val="pl-PL"/>
              </w:rPr>
              <w:t>POZ</w:t>
            </w:r>
          </w:p>
          <w:p w14:paraId="3B5F6BB9" w14:textId="77777777" w:rsidR="000E3061" w:rsidRPr="00487C5A" w:rsidRDefault="000E3061" w:rsidP="00F84B72">
            <w:pPr>
              <w:pStyle w:val="EYBulletedList1"/>
              <w:numPr>
                <w:ilvl w:val="0"/>
                <w:numId w:val="11"/>
              </w:numPr>
              <w:spacing w:beforeLines="20" w:before="48" w:afterLines="20" w:after="48"/>
              <w:rPr>
                <w:color w:val="000000" w:themeColor="text1"/>
                <w:sz w:val="18"/>
                <w:szCs w:val="18"/>
                <w:lang w:val="pl-PL"/>
              </w:rPr>
            </w:pPr>
            <w:r w:rsidRPr="00487C5A">
              <w:rPr>
                <w:color w:val="000000" w:themeColor="text1"/>
                <w:sz w:val="18"/>
                <w:szCs w:val="18"/>
                <w:lang w:val="pl-PL"/>
              </w:rPr>
              <w:t>AOS</w:t>
            </w:r>
          </w:p>
          <w:p w14:paraId="56B45952" w14:textId="77777777" w:rsidR="008F566E" w:rsidRPr="00135421" w:rsidRDefault="000E3061" w:rsidP="00F84B72">
            <w:pPr>
              <w:pStyle w:val="EYBulletedList1"/>
              <w:numPr>
                <w:ilvl w:val="0"/>
                <w:numId w:val="11"/>
              </w:numPr>
              <w:spacing w:beforeLines="20" w:before="48" w:afterLines="20" w:after="48"/>
              <w:rPr>
                <w:rFonts w:eastAsia="Calibri"/>
                <w:color w:val="FF0000"/>
                <w:sz w:val="18"/>
                <w:szCs w:val="18"/>
                <w:lang w:val="pl-PL"/>
              </w:rPr>
            </w:pPr>
            <w:r w:rsidRPr="00487C5A">
              <w:rPr>
                <w:color w:val="000000" w:themeColor="text1"/>
                <w:sz w:val="18"/>
                <w:szCs w:val="18"/>
                <w:lang w:val="pl-PL"/>
              </w:rPr>
              <w:t>Świadczeniodawcy usług diagnostycznych</w:t>
            </w:r>
          </w:p>
        </w:tc>
        <w:tc>
          <w:tcPr>
            <w:tcW w:w="4111" w:type="dxa"/>
            <w:shd w:val="clear" w:color="auto" w:fill="auto"/>
          </w:tcPr>
          <w:p w14:paraId="5FD372B5" w14:textId="77777777" w:rsidR="00714AE4" w:rsidRPr="0033482A" w:rsidRDefault="00714AE4" w:rsidP="00F84B72">
            <w:pPr>
              <w:pStyle w:val="EYBulletedList1"/>
              <w:numPr>
                <w:ilvl w:val="0"/>
                <w:numId w:val="11"/>
              </w:numPr>
              <w:spacing w:beforeLines="20" w:before="48" w:afterLines="20" w:after="48"/>
              <w:rPr>
                <w:sz w:val="18"/>
                <w:szCs w:val="18"/>
                <w:lang w:val="pl-PL"/>
              </w:rPr>
            </w:pPr>
            <w:r w:rsidRPr="0033482A">
              <w:rPr>
                <w:sz w:val="18"/>
                <w:szCs w:val="18"/>
                <w:lang w:val="pl-PL"/>
              </w:rPr>
              <w:t>Programy zdrowotne realizowane na terenie województw</w:t>
            </w:r>
            <w:r w:rsidR="0033482A" w:rsidRPr="0033482A">
              <w:rPr>
                <w:sz w:val="18"/>
                <w:szCs w:val="18"/>
                <w:lang w:val="pl-PL"/>
              </w:rPr>
              <w:t xml:space="preserve"> </w:t>
            </w:r>
            <w:r w:rsidRPr="0033482A">
              <w:rPr>
                <w:sz w:val="18"/>
                <w:szCs w:val="18"/>
                <w:lang w:val="pl-PL"/>
              </w:rPr>
              <w:t>w zakresie chorób nowotworowych, promowania zdrowego stylu życia i aktywności fizycznej, problemu uzależnień, zdrowia psychicznego</w:t>
            </w:r>
            <w:r w:rsidR="00F50E0F" w:rsidRPr="0033482A">
              <w:rPr>
                <w:sz w:val="18"/>
                <w:szCs w:val="18"/>
                <w:lang w:val="pl-PL"/>
              </w:rPr>
              <w:t>, chorób zakaźnych i zakażeń (szczepienia), wad postawy i osteoporozy</w:t>
            </w:r>
          </w:p>
          <w:p w14:paraId="4DE47460" w14:textId="77777777" w:rsidR="008F566E" w:rsidRPr="00135421" w:rsidRDefault="0033482A" w:rsidP="00F84B72">
            <w:pPr>
              <w:pStyle w:val="EYBulletedList1"/>
              <w:numPr>
                <w:ilvl w:val="0"/>
                <w:numId w:val="11"/>
              </w:numPr>
              <w:spacing w:beforeLines="20" w:before="48" w:afterLines="20" w:after="48"/>
              <w:rPr>
                <w:color w:val="FF0000"/>
                <w:sz w:val="18"/>
                <w:szCs w:val="18"/>
                <w:lang w:val="pl-PL"/>
              </w:rPr>
            </w:pPr>
            <w:r w:rsidRPr="0033482A">
              <w:rPr>
                <w:sz w:val="18"/>
                <w:szCs w:val="18"/>
                <w:lang w:val="pl-PL"/>
              </w:rPr>
              <w:t>P</w:t>
            </w:r>
            <w:r w:rsidR="008F566E" w:rsidRPr="0033482A">
              <w:rPr>
                <w:sz w:val="18"/>
                <w:szCs w:val="18"/>
                <w:lang w:val="pl-PL"/>
              </w:rPr>
              <w:t xml:space="preserve">rogramy </w:t>
            </w:r>
            <w:r w:rsidRPr="0033482A">
              <w:rPr>
                <w:sz w:val="18"/>
                <w:szCs w:val="18"/>
                <w:lang w:val="pl-PL"/>
              </w:rPr>
              <w:t>realizowane głównie w formie  świadczeń zdrowotnych lub edukacji zdrowotnej</w:t>
            </w:r>
          </w:p>
        </w:tc>
      </w:tr>
      <w:tr w:rsidR="008F566E" w:rsidRPr="00C57815" w14:paraId="003CE722" w14:textId="77777777" w:rsidTr="001C57A3">
        <w:tc>
          <w:tcPr>
            <w:tcW w:w="2410" w:type="dxa"/>
            <w:shd w:val="clear" w:color="auto" w:fill="auto"/>
          </w:tcPr>
          <w:p w14:paraId="5FB29EB9" w14:textId="77777777" w:rsidR="008F566E" w:rsidRDefault="008F566E" w:rsidP="008F566E">
            <w:pPr>
              <w:pStyle w:val="EYBulletedList1"/>
              <w:numPr>
                <w:ilvl w:val="0"/>
                <w:numId w:val="0"/>
              </w:numPr>
              <w:spacing w:beforeLines="20" w:before="48" w:afterLines="20" w:after="48"/>
              <w:rPr>
                <w:sz w:val="18"/>
                <w:szCs w:val="18"/>
                <w:lang w:val="pl-PL"/>
              </w:rPr>
            </w:pPr>
            <w:r>
              <w:rPr>
                <w:sz w:val="18"/>
                <w:szCs w:val="18"/>
                <w:lang w:val="pl-PL"/>
              </w:rPr>
              <w:t xml:space="preserve">Profilaktyka </w:t>
            </w:r>
            <w:r w:rsidR="00577774">
              <w:rPr>
                <w:sz w:val="18"/>
                <w:szCs w:val="18"/>
                <w:lang w:val="pl-PL"/>
              </w:rPr>
              <w:t>drugorzędowa</w:t>
            </w:r>
            <w:r w:rsidR="00577774">
              <w:rPr>
                <w:sz w:val="18"/>
                <w:szCs w:val="18"/>
                <w:lang w:val="pl-PL"/>
              </w:rPr>
              <w:br/>
            </w:r>
            <w:r>
              <w:rPr>
                <w:sz w:val="18"/>
                <w:szCs w:val="18"/>
                <w:lang w:val="pl-PL"/>
              </w:rPr>
              <w:t>(wtórna)</w:t>
            </w:r>
          </w:p>
          <w:p w14:paraId="62801AFD" w14:textId="77777777" w:rsidR="008F566E" w:rsidRDefault="008F566E" w:rsidP="008F566E">
            <w:pPr>
              <w:pStyle w:val="EYBulletedList1"/>
              <w:numPr>
                <w:ilvl w:val="0"/>
                <w:numId w:val="0"/>
              </w:numPr>
              <w:spacing w:beforeLines="20" w:before="48" w:afterLines="20" w:after="48"/>
              <w:rPr>
                <w:sz w:val="18"/>
                <w:szCs w:val="18"/>
                <w:lang w:val="pl-PL"/>
              </w:rPr>
            </w:pPr>
            <w:r>
              <w:rPr>
                <w:sz w:val="18"/>
                <w:szCs w:val="18"/>
                <w:lang w:val="pl-PL"/>
              </w:rPr>
              <w:t xml:space="preserve">- wczesne wykrycie </w:t>
            </w:r>
            <w:proofErr w:type="spellStart"/>
            <w:r>
              <w:rPr>
                <w:sz w:val="18"/>
                <w:szCs w:val="18"/>
                <w:lang w:val="pl-PL"/>
              </w:rPr>
              <w:t>PChN</w:t>
            </w:r>
            <w:proofErr w:type="spellEnd"/>
          </w:p>
          <w:p w14:paraId="67983872" w14:textId="77777777" w:rsidR="006633F9" w:rsidRPr="00AF1589" w:rsidRDefault="006633F9" w:rsidP="008F566E">
            <w:pPr>
              <w:pStyle w:val="EYBulletedList1"/>
              <w:numPr>
                <w:ilvl w:val="0"/>
                <w:numId w:val="0"/>
              </w:numPr>
              <w:spacing w:beforeLines="20" w:before="48" w:afterLines="20" w:after="48"/>
              <w:rPr>
                <w:sz w:val="18"/>
                <w:szCs w:val="18"/>
                <w:lang w:val="pl-PL"/>
              </w:rPr>
            </w:pPr>
            <w:r>
              <w:rPr>
                <w:sz w:val="18"/>
                <w:szCs w:val="18"/>
                <w:lang w:val="pl-PL"/>
              </w:rPr>
              <w:t>- populacja wysokiego ryzyka</w:t>
            </w:r>
          </w:p>
        </w:tc>
        <w:tc>
          <w:tcPr>
            <w:tcW w:w="2461" w:type="dxa"/>
            <w:shd w:val="clear" w:color="auto" w:fill="auto"/>
          </w:tcPr>
          <w:p w14:paraId="55BA53C4" w14:textId="77777777" w:rsidR="008F566E" w:rsidRPr="006A51D6" w:rsidRDefault="008F566E" w:rsidP="00F84B72">
            <w:pPr>
              <w:pStyle w:val="EYBulletedList1"/>
              <w:numPr>
                <w:ilvl w:val="0"/>
                <w:numId w:val="11"/>
              </w:numPr>
              <w:spacing w:beforeLines="20" w:before="48" w:afterLines="20" w:after="48"/>
              <w:rPr>
                <w:sz w:val="18"/>
                <w:szCs w:val="18"/>
                <w:lang w:val="pl-PL"/>
              </w:rPr>
            </w:pPr>
            <w:r w:rsidRPr="006A51D6">
              <w:rPr>
                <w:sz w:val="18"/>
                <w:szCs w:val="18"/>
                <w:lang w:val="pl-PL"/>
              </w:rPr>
              <w:t>POZ</w:t>
            </w:r>
          </w:p>
          <w:p w14:paraId="682C64B0" w14:textId="77777777" w:rsidR="008F566E" w:rsidRPr="006A51D6" w:rsidRDefault="008F566E" w:rsidP="00F84B72">
            <w:pPr>
              <w:pStyle w:val="EYBulletedList1"/>
              <w:numPr>
                <w:ilvl w:val="0"/>
                <w:numId w:val="11"/>
              </w:numPr>
              <w:spacing w:beforeLines="20" w:before="48" w:afterLines="20" w:after="48"/>
              <w:rPr>
                <w:sz w:val="18"/>
                <w:szCs w:val="18"/>
                <w:lang w:val="pl-PL"/>
              </w:rPr>
            </w:pPr>
            <w:r w:rsidRPr="006A51D6">
              <w:rPr>
                <w:sz w:val="18"/>
                <w:szCs w:val="18"/>
                <w:lang w:val="pl-PL"/>
              </w:rPr>
              <w:t>AOS</w:t>
            </w:r>
          </w:p>
          <w:p w14:paraId="0A1F8FA7" w14:textId="77777777" w:rsidR="001D7E5C" w:rsidRPr="00135421" w:rsidRDefault="001D7E5C" w:rsidP="00F84B72">
            <w:pPr>
              <w:pStyle w:val="EYBulletedList1"/>
              <w:numPr>
                <w:ilvl w:val="0"/>
                <w:numId w:val="11"/>
              </w:numPr>
              <w:spacing w:beforeLines="20" w:before="48" w:afterLines="20" w:after="48"/>
              <w:rPr>
                <w:color w:val="FF0000"/>
                <w:sz w:val="18"/>
                <w:szCs w:val="18"/>
                <w:lang w:val="pl-PL"/>
              </w:rPr>
            </w:pPr>
            <w:r w:rsidRPr="008A79E0">
              <w:rPr>
                <w:sz w:val="18"/>
                <w:szCs w:val="18"/>
                <w:lang w:val="pl-PL"/>
              </w:rPr>
              <w:t>Świadczeniodawcy usług diagnostycznych</w:t>
            </w:r>
          </w:p>
        </w:tc>
        <w:tc>
          <w:tcPr>
            <w:tcW w:w="4111" w:type="dxa"/>
            <w:shd w:val="clear" w:color="auto" w:fill="auto"/>
          </w:tcPr>
          <w:p w14:paraId="77D6B9BB" w14:textId="77777777" w:rsidR="008F566E" w:rsidRPr="006A51D6" w:rsidRDefault="008F566E" w:rsidP="00F84B72">
            <w:pPr>
              <w:pStyle w:val="EYBulletedList1"/>
              <w:numPr>
                <w:ilvl w:val="0"/>
                <w:numId w:val="11"/>
              </w:numPr>
              <w:spacing w:beforeLines="20" w:before="48" w:afterLines="20" w:after="48"/>
              <w:rPr>
                <w:sz w:val="18"/>
                <w:szCs w:val="18"/>
                <w:lang w:val="pl-PL"/>
              </w:rPr>
            </w:pPr>
            <w:r w:rsidRPr="006A51D6">
              <w:rPr>
                <w:sz w:val="18"/>
                <w:szCs w:val="18"/>
                <w:lang w:val="pl-PL"/>
              </w:rPr>
              <w:t xml:space="preserve">Brak powszechnego, ogólnopolskiego programu wczesnego wykrywania </w:t>
            </w:r>
            <w:proofErr w:type="spellStart"/>
            <w:r w:rsidRPr="006A51D6">
              <w:rPr>
                <w:sz w:val="18"/>
                <w:szCs w:val="18"/>
                <w:lang w:val="pl-PL"/>
              </w:rPr>
              <w:t>PChN</w:t>
            </w:r>
            <w:proofErr w:type="spellEnd"/>
          </w:p>
          <w:p w14:paraId="03A02064" w14:textId="77777777" w:rsidR="00E56111" w:rsidRPr="006A51D6" w:rsidRDefault="00E56111" w:rsidP="00F84B72">
            <w:pPr>
              <w:pStyle w:val="EYBulletedList1"/>
              <w:numPr>
                <w:ilvl w:val="0"/>
                <w:numId w:val="11"/>
              </w:numPr>
              <w:spacing w:beforeLines="20" w:before="48" w:afterLines="20" w:after="48"/>
              <w:rPr>
                <w:sz w:val="18"/>
                <w:szCs w:val="18"/>
                <w:lang w:val="pl-PL"/>
              </w:rPr>
            </w:pPr>
            <w:r w:rsidRPr="006A51D6">
              <w:rPr>
                <w:sz w:val="18"/>
                <w:szCs w:val="18"/>
                <w:lang w:val="pl-PL"/>
              </w:rPr>
              <w:t xml:space="preserve">Reaktywne podejście lekarzy rodzinnych </w:t>
            </w:r>
            <w:r w:rsidR="008A79E0">
              <w:rPr>
                <w:sz w:val="18"/>
                <w:szCs w:val="18"/>
                <w:lang w:val="pl-PL"/>
              </w:rPr>
              <w:br/>
            </w:r>
            <w:r w:rsidRPr="006A51D6">
              <w:rPr>
                <w:sz w:val="18"/>
                <w:szCs w:val="18"/>
                <w:lang w:val="pl-PL"/>
              </w:rPr>
              <w:t xml:space="preserve">w kierunku rozpoznania </w:t>
            </w:r>
            <w:proofErr w:type="spellStart"/>
            <w:r w:rsidRPr="006A51D6">
              <w:rPr>
                <w:sz w:val="18"/>
                <w:szCs w:val="18"/>
                <w:lang w:val="pl-PL"/>
              </w:rPr>
              <w:t>PChN</w:t>
            </w:r>
            <w:proofErr w:type="spellEnd"/>
            <w:r w:rsidRPr="006A51D6">
              <w:rPr>
                <w:sz w:val="18"/>
                <w:szCs w:val="18"/>
                <w:lang w:val="pl-PL"/>
              </w:rPr>
              <w:t xml:space="preserve">, tj. pacjent podczas wizyty u lekarza POZ nie jest badany w kierunku wykluczenia </w:t>
            </w:r>
            <w:proofErr w:type="spellStart"/>
            <w:r w:rsidRPr="006A51D6">
              <w:rPr>
                <w:sz w:val="18"/>
                <w:szCs w:val="18"/>
                <w:lang w:val="pl-PL"/>
              </w:rPr>
              <w:t>PChN</w:t>
            </w:r>
            <w:proofErr w:type="spellEnd"/>
          </w:p>
          <w:p w14:paraId="31074DB5" w14:textId="77777777" w:rsidR="00573981" w:rsidRPr="00573981" w:rsidRDefault="00E56111" w:rsidP="00F84B72">
            <w:pPr>
              <w:pStyle w:val="EYBulletedList1"/>
              <w:numPr>
                <w:ilvl w:val="0"/>
                <w:numId w:val="11"/>
              </w:numPr>
              <w:spacing w:beforeLines="20" w:before="48" w:afterLines="20" w:after="48"/>
              <w:rPr>
                <w:color w:val="FF0000"/>
                <w:sz w:val="18"/>
                <w:szCs w:val="18"/>
                <w:lang w:val="pl-PL"/>
              </w:rPr>
            </w:pPr>
            <w:r w:rsidRPr="006A51D6">
              <w:rPr>
                <w:sz w:val="18"/>
                <w:szCs w:val="18"/>
                <w:lang w:val="pl-PL"/>
              </w:rPr>
              <w:t>Sporadyczne p</w:t>
            </w:r>
            <w:r w:rsidR="008F566E" w:rsidRPr="006A51D6">
              <w:rPr>
                <w:sz w:val="18"/>
                <w:szCs w:val="18"/>
                <w:lang w:val="pl-PL"/>
              </w:rPr>
              <w:t>rogramy</w:t>
            </w:r>
            <w:r w:rsidR="00770267" w:rsidRPr="006A51D6">
              <w:rPr>
                <w:sz w:val="18"/>
                <w:szCs w:val="18"/>
                <w:lang w:val="pl-PL"/>
              </w:rPr>
              <w:t xml:space="preserve"> wczesnego wykrywania choroby</w:t>
            </w:r>
            <w:r w:rsidR="008F566E" w:rsidRPr="006A51D6">
              <w:rPr>
                <w:sz w:val="18"/>
                <w:szCs w:val="18"/>
                <w:lang w:val="pl-PL"/>
              </w:rPr>
              <w:t xml:space="preserve"> o zasięgu regionalnym (np.</w:t>
            </w:r>
            <w:r w:rsidR="002A3011" w:rsidRPr="006A51D6">
              <w:rPr>
                <w:sz w:val="18"/>
                <w:szCs w:val="18"/>
                <w:lang w:val="pl-PL"/>
              </w:rPr>
              <w:t xml:space="preserve"> planowany</w:t>
            </w:r>
            <w:r w:rsidR="008F566E" w:rsidRPr="006A51D6">
              <w:rPr>
                <w:sz w:val="18"/>
                <w:szCs w:val="18"/>
                <w:lang w:val="pl-PL"/>
              </w:rPr>
              <w:t xml:space="preserve"> Program wczesnego wykrywania przewlekłej c</w:t>
            </w:r>
            <w:r w:rsidRPr="006A51D6">
              <w:rPr>
                <w:sz w:val="18"/>
                <w:szCs w:val="18"/>
                <w:lang w:val="pl-PL"/>
              </w:rPr>
              <w:t xml:space="preserve">horoby nerek </w:t>
            </w:r>
            <w:r w:rsidR="008F566E" w:rsidRPr="006A51D6">
              <w:rPr>
                <w:sz w:val="18"/>
                <w:szCs w:val="18"/>
                <w:lang w:val="pl-PL"/>
              </w:rPr>
              <w:t>dla mieszkańców województwa łódzkiego 2017-2018)</w:t>
            </w:r>
          </w:p>
        </w:tc>
      </w:tr>
      <w:tr w:rsidR="008F566E" w:rsidRPr="00C57815" w14:paraId="077B7A58" w14:textId="77777777" w:rsidTr="001C57A3">
        <w:tc>
          <w:tcPr>
            <w:tcW w:w="2410" w:type="dxa"/>
            <w:shd w:val="clear" w:color="auto" w:fill="auto"/>
          </w:tcPr>
          <w:p w14:paraId="3B7BB6AE" w14:textId="77777777" w:rsidR="008F566E" w:rsidRDefault="008F566E" w:rsidP="008F566E">
            <w:pPr>
              <w:pStyle w:val="EYBulletedList1"/>
              <w:numPr>
                <w:ilvl w:val="0"/>
                <w:numId w:val="0"/>
              </w:numPr>
              <w:spacing w:beforeLines="20" w:before="48" w:afterLines="20" w:after="48"/>
              <w:rPr>
                <w:sz w:val="18"/>
                <w:szCs w:val="18"/>
                <w:lang w:val="pl-PL"/>
              </w:rPr>
            </w:pPr>
            <w:r>
              <w:rPr>
                <w:sz w:val="18"/>
                <w:szCs w:val="18"/>
                <w:lang w:val="pl-PL"/>
              </w:rPr>
              <w:t xml:space="preserve">Profilaktyka </w:t>
            </w:r>
            <w:r w:rsidR="00577774">
              <w:rPr>
                <w:sz w:val="18"/>
                <w:szCs w:val="18"/>
                <w:lang w:val="pl-PL"/>
              </w:rPr>
              <w:t>trzeciorzędowa</w:t>
            </w:r>
          </w:p>
          <w:p w14:paraId="141BF4F3" w14:textId="77777777" w:rsidR="008F566E" w:rsidRDefault="008F566E" w:rsidP="008F566E">
            <w:pPr>
              <w:pStyle w:val="EYBulletedList1"/>
              <w:numPr>
                <w:ilvl w:val="0"/>
                <w:numId w:val="0"/>
              </w:numPr>
              <w:spacing w:beforeLines="20" w:before="48" w:afterLines="20" w:after="48"/>
              <w:rPr>
                <w:rFonts w:eastAsia="Calibri"/>
                <w:sz w:val="18"/>
                <w:szCs w:val="18"/>
                <w:lang w:val="pl-PL"/>
              </w:rPr>
            </w:pPr>
            <w:r>
              <w:rPr>
                <w:sz w:val="18"/>
                <w:szCs w:val="18"/>
                <w:lang w:val="pl-PL"/>
              </w:rPr>
              <w:t xml:space="preserve">- </w:t>
            </w:r>
            <w:r>
              <w:rPr>
                <w:rFonts w:eastAsia="Calibri"/>
                <w:sz w:val="18"/>
                <w:szCs w:val="18"/>
                <w:lang w:val="pl-PL"/>
              </w:rPr>
              <w:t xml:space="preserve">leczenie objawów </w:t>
            </w:r>
            <w:r w:rsidR="008A79E0">
              <w:rPr>
                <w:rFonts w:eastAsia="Calibri"/>
                <w:sz w:val="18"/>
                <w:szCs w:val="18"/>
                <w:lang w:val="pl-PL"/>
              </w:rPr>
              <w:br/>
            </w:r>
            <w:r>
              <w:rPr>
                <w:rFonts w:eastAsia="Calibri"/>
                <w:sz w:val="18"/>
                <w:szCs w:val="18"/>
                <w:lang w:val="pl-PL"/>
              </w:rPr>
              <w:t>i powikłań</w:t>
            </w:r>
            <w:r w:rsidR="00770267">
              <w:rPr>
                <w:rFonts w:eastAsia="Calibri"/>
                <w:sz w:val="18"/>
                <w:szCs w:val="18"/>
                <w:lang w:val="pl-PL"/>
              </w:rPr>
              <w:t xml:space="preserve"> </w:t>
            </w:r>
            <w:proofErr w:type="spellStart"/>
            <w:r w:rsidR="00770267">
              <w:rPr>
                <w:rFonts w:eastAsia="Calibri"/>
                <w:sz w:val="18"/>
                <w:szCs w:val="18"/>
                <w:lang w:val="pl-PL"/>
              </w:rPr>
              <w:t>PChN</w:t>
            </w:r>
            <w:proofErr w:type="spellEnd"/>
          </w:p>
          <w:p w14:paraId="0F90D7EF" w14:textId="3A171EC9" w:rsidR="006633F9" w:rsidRPr="00AF1589" w:rsidRDefault="006633F9" w:rsidP="007500DD">
            <w:pPr>
              <w:pStyle w:val="EYBulletedList1"/>
              <w:numPr>
                <w:ilvl w:val="0"/>
                <w:numId w:val="0"/>
              </w:numPr>
              <w:spacing w:beforeLines="20" w:before="48" w:afterLines="20" w:after="48"/>
              <w:rPr>
                <w:sz w:val="18"/>
                <w:szCs w:val="18"/>
                <w:lang w:val="pl-PL"/>
              </w:rPr>
            </w:pPr>
            <w:r>
              <w:rPr>
                <w:rFonts w:eastAsia="Calibri"/>
                <w:sz w:val="18"/>
                <w:szCs w:val="18"/>
                <w:lang w:val="pl-PL"/>
              </w:rPr>
              <w:t>- populacja</w:t>
            </w:r>
            <w:r w:rsidR="007500DD">
              <w:rPr>
                <w:rFonts w:eastAsia="Calibri"/>
                <w:sz w:val="18"/>
                <w:szCs w:val="18"/>
                <w:lang w:val="pl-PL"/>
              </w:rPr>
              <w:t xml:space="preserve"> chorych</w:t>
            </w:r>
          </w:p>
        </w:tc>
        <w:tc>
          <w:tcPr>
            <w:tcW w:w="2461" w:type="dxa"/>
            <w:shd w:val="clear" w:color="auto" w:fill="auto"/>
          </w:tcPr>
          <w:p w14:paraId="42B8B481" w14:textId="77777777" w:rsidR="00135421" w:rsidRPr="006A51D6" w:rsidRDefault="00135421" w:rsidP="00F84B72">
            <w:pPr>
              <w:pStyle w:val="EYBulletedList1"/>
              <w:numPr>
                <w:ilvl w:val="0"/>
                <w:numId w:val="11"/>
              </w:numPr>
              <w:spacing w:beforeLines="20" w:before="48" w:afterLines="20" w:after="48"/>
              <w:rPr>
                <w:sz w:val="18"/>
                <w:szCs w:val="18"/>
                <w:lang w:val="pl-PL"/>
              </w:rPr>
            </w:pPr>
            <w:r w:rsidRPr="006A51D6">
              <w:rPr>
                <w:sz w:val="18"/>
                <w:szCs w:val="18"/>
                <w:lang w:val="pl-PL"/>
              </w:rPr>
              <w:t>POZ</w:t>
            </w:r>
          </w:p>
          <w:p w14:paraId="42F19A0C" w14:textId="77777777" w:rsidR="008F566E" w:rsidRPr="006A51D6" w:rsidRDefault="008F566E" w:rsidP="00F84B72">
            <w:pPr>
              <w:pStyle w:val="EYBulletedList1"/>
              <w:numPr>
                <w:ilvl w:val="0"/>
                <w:numId w:val="11"/>
              </w:numPr>
              <w:spacing w:beforeLines="20" w:before="48" w:afterLines="20" w:after="48"/>
              <w:rPr>
                <w:sz w:val="18"/>
                <w:szCs w:val="18"/>
                <w:lang w:val="pl-PL"/>
              </w:rPr>
            </w:pPr>
            <w:r w:rsidRPr="006A51D6">
              <w:rPr>
                <w:sz w:val="18"/>
                <w:szCs w:val="18"/>
                <w:lang w:val="pl-PL"/>
              </w:rPr>
              <w:t>AOS</w:t>
            </w:r>
          </w:p>
          <w:p w14:paraId="49AF8863" w14:textId="77777777" w:rsidR="00135421" w:rsidRPr="006A51D6" w:rsidRDefault="00135421" w:rsidP="00F84B72">
            <w:pPr>
              <w:pStyle w:val="EYBulletedList1"/>
              <w:numPr>
                <w:ilvl w:val="0"/>
                <w:numId w:val="11"/>
              </w:numPr>
              <w:spacing w:beforeLines="20" w:before="48" w:afterLines="20" w:after="48"/>
              <w:rPr>
                <w:sz w:val="18"/>
                <w:szCs w:val="18"/>
                <w:lang w:val="pl-PL"/>
              </w:rPr>
            </w:pPr>
            <w:r w:rsidRPr="006A51D6">
              <w:rPr>
                <w:sz w:val="18"/>
                <w:szCs w:val="18"/>
                <w:lang w:val="pl-PL"/>
              </w:rPr>
              <w:t>Szpitale</w:t>
            </w:r>
          </w:p>
          <w:p w14:paraId="6E10297C" w14:textId="77777777" w:rsidR="001D7E5C" w:rsidRPr="006A51D6" w:rsidRDefault="001D7E5C" w:rsidP="00F84B72">
            <w:pPr>
              <w:pStyle w:val="EYBulletedList1"/>
              <w:numPr>
                <w:ilvl w:val="0"/>
                <w:numId w:val="11"/>
              </w:numPr>
              <w:spacing w:beforeLines="20" w:before="48" w:afterLines="20" w:after="48"/>
              <w:rPr>
                <w:sz w:val="18"/>
                <w:szCs w:val="18"/>
                <w:lang w:val="pl-PL"/>
              </w:rPr>
            </w:pPr>
            <w:r w:rsidRPr="006A51D6">
              <w:rPr>
                <w:sz w:val="18"/>
                <w:szCs w:val="18"/>
                <w:lang w:val="pl-PL"/>
              </w:rPr>
              <w:t>Stacje dializ</w:t>
            </w:r>
          </w:p>
          <w:p w14:paraId="7D146CFC" w14:textId="77777777" w:rsidR="001D7E5C" w:rsidRPr="006A51D6" w:rsidRDefault="001D7E5C" w:rsidP="00F84B72">
            <w:pPr>
              <w:pStyle w:val="EYBulletedList1"/>
              <w:numPr>
                <w:ilvl w:val="0"/>
                <w:numId w:val="11"/>
              </w:numPr>
              <w:spacing w:beforeLines="20" w:before="48" w:afterLines="20" w:after="48"/>
              <w:rPr>
                <w:sz w:val="18"/>
                <w:szCs w:val="18"/>
                <w:lang w:val="pl-PL"/>
              </w:rPr>
            </w:pPr>
            <w:r w:rsidRPr="006A51D6">
              <w:rPr>
                <w:sz w:val="18"/>
                <w:szCs w:val="18"/>
                <w:lang w:val="pl-PL"/>
              </w:rPr>
              <w:t>Ośrodki transplantacyjne</w:t>
            </w:r>
          </w:p>
          <w:p w14:paraId="13A5F1F7" w14:textId="77777777" w:rsidR="00135421" w:rsidRPr="00135421" w:rsidRDefault="001D7E5C" w:rsidP="00F84B72">
            <w:pPr>
              <w:pStyle w:val="EYBulletedList1"/>
              <w:numPr>
                <w:ilvl w:val="0"/>
                <w:numId w:val="11"/>
              </w:numPr>
              <w:spacing w:beforeLines="20" w:before="48" w:afterLines="20" w:after="48"/>
              <w:rPr>
                <w:color w:val="FF0000"/>
                <w:sz w:val="18"/>
                <w:szCs w:val="18"/>
                <w:lang w:val="pl-PL"/>
              </w:rPr>
            </w:pPr>
            <w:r w:rsidRPr="006A51D6">
              <w:rPr>
                <w:sz w:val="18"/>
                <w:szCs w:val="18"/>
                <w:lang w:val="pl-PL"/>
              </w:rPr>
              <w:t>Świadczeniodawcy usług diagnostycznych</w:t>
            </w:r>
          </w:p>
        </w:tc>
        <w:tc>
          <w:tcPr>
            <w:tcW w:w="4111" w:type="dxa"/>
            <w:shd w:val="clear" w:color="auto" w:fill="auto"/>
          </w:tcPr>
          <w:p w14:paraId="6040524B" w14:textId="77777777" w:rsidR="008F566E" w:rsidRPr="001600D6" w:rsidRDefault="00714AE4" w:rsidP="00F84B72">
            <w:pPr>
              <w:pStyle w:val="EYBulletedList1"/>
              <w:numPr>
                <w:ilvl w:val="0"/>
                <w:numId w:val="11"/>
              </w:numPr>
              <w:spacing w:beforeLines="20" w:before="48" w:afterLines="20" w:after="48"/>
              <w:rPr>
                <w:color w:val="FF0000"/>
                <w:sz w:val="18"/>
                <w:szCs w:val="18"/>
                <w:lang w:val="pl-PL"/>
              </w:rPr>
            </w:pPr>
            <w:r>
              <w:rPr>
                <w:sz w:val="18"/>
                <w:szCs w:val="18"/>
                <w:lang w:val="pl-PL"/>
              </w:rPr>
              <w:t>Ś</w:t>
            </w:r>
            <w:r w:rsidR="001600D6" w:rsidRPr="001600D6">
              <w:rPr>
                <w:sz w:val="18"/>
                <w:szCs w:val="18"/>
                <w:lang w:val="pl-PL"/>
              </w:rPr>
              <w:t>wiadczenia dostępne w ramach świadczeń gwarantowanych finansowanych ze środków publicznych</w:t>
            </w:r>
          </w:p>
          <w:p w14:paraId="1EA1DE9D" w14:textId="77777777" w:rsidR="001600D6" w:rsidRPr="001600D6" w:rsidRDefault="00714AE4" w:rsidP="00F84B72">
            <w:pPr>
              <w:pStyle w:val="EYBulletedList1"/>
              <w:numPr>
                <w:ilvl w:val="0"/>
                <w:numId w:val="11"/>
              </w:numPr>
              <w:spacing w:beforeLines="20" w:before="48" w:afterLines="20" w:after="48"/>
              <w:rPr>
                <w:color w:val="FF0000"/>
                <w:sz w:val="18"/>
                <w:szCs w:val="18"/>
                <w:lang w:val="pl-PL"/>
              </w:rPr>
            </w:pPr>
            <w:r>
              <w:rPr>
                <w:sz w:val="18"/>
                <w:szCs w:val="18"/>
                <w:lang w:val="pl-PL"/>
              </w:rPr>
              <w:t>D</w:t>
            </w:r>
            <w:r w:rsidR="009B4985">
              <w:rPr>
                <w:sz w:val="18"/>
                <w:szCs w:val="18"/>
                <w:lang w:val="pl-PL"/>
              </w:rPr>
              <w:t xml:space="preserve">ługie </w:t>
            </w:r>
            <w:r w:rsidR="001600D6">
              <w:rPr>
                <w:sz w:val="18"/>
                <w:szCs w:val="18"/>
                <w:lang w:val="pl-PL"/>
              </w:rPr>
              <w:t>kolejki do poradni nefrologicznych</w:t>
            </w:r>
          </w:p>
          <w:p w14:paraId="42E5FEEF" w14:textId="77777777" w:rsidR="001600D6" w:rsidRPr="00714AE4" w:rsidRDefault="00714AE4" w:rsidP="00F84B72">
            <w:pPr>
              <w:pStyle w:val="EYBulletedList1"/>
              <w:numPr>
                <w:ilvl w:val="0"/>
                <w:numId w:val="11"/>
              </w:numPr>
              <w:spacing w:beforeLines="20" w:before="48" w:afterLines="20" w:after="48"/>
              <w:rPr>
                <w:color w:val="FF0000"/>
                <w:sz w:val="18"/>
                <w:szCs w:val="18"/>
                <w:lang w:val="pl-PL"/>
              </w:rPr>
            </w:pPr>
            <w:r>
              <w:rPr>
                <w:sz w:val="18"/>
                <w:szCs w:val="18"/>
                <w:lang w:val="pl-PL"/>
              </w:rPr>
              <w:t>R</w:t>
            </w:r>
            <w:r w:rsidR="009B4985" w:rsidRPr="00714AE4">
              <w:rPr>
                <w:sz w:val="18"/>
                <w:szCs w:val="18"/>
                <w:lang w:val="pl-PL"/>
              </w:rPr>
              <w:t>elatywnie mało transplantacji nerek (na tle innych krajów europejskich)</w:t>
            </w:r>
          </w:p>
          <w:p w14:paraId="0C71DEC2" w14:textId="77777777" w:rsidR="00714AE4" w:rsidRPr="00135421" w:rsidRDefault="00714AE4" w:rsidP="00F84B72">
            <w:pPr>
              <w:pStyle w:val="EYBulletedList1"/>
              <w:numPr>
                <w:ilvl w:val="0"/>
                <w:numId w:val="11"/>
              </w:numPr>
              <w:spacing w:beforeLines="20" w:before="48" w:afterLines="20" w:after="48"/>
              <w:rPr>
                <w:color w:val="FF0000"/>
                <w:sz w:val="18"/>
                <w:szCs w:val="18"/>
                <w:lang w:val="pl-PL"/>
              </w:rPr>
            </w:pPr>
            <w:r>
              <w:rPr>
                <w:sz w:val="18"/>
                <w:szCs w:val="18"/>
                <w:lang w:val="pl-PL"/>
              </w:rPr>
              <w:t>Kluczowa rola pacjenta w koordynacji własnego leczenia – brak systemowego koordynatora</w:t>
            </w:r>
          </w:p>
        </w:tc>
      </w:tr>
    </w:tbl>
    <w:p w14:paraId="2711287C" w14:textId="77777777" w:rsidR="002A3011" w:rsidRPr="002A3011" w:rsidRDefault="00487C5A" w:rsidP="008F566E">
      <w:pPr>
        <w:rPr>
          <w:rFonts w:eastAsia="Calibri"/>
          <w:sz w:val="18"/>
          <w:lang w:val="pl-PL"/>
        </w:rPr>
      </w:pPr>
      <w:r>
        <w:rPr>
          <w:rFonts w:eastAsia="Calibri"/>
          <w:sz w:val="18"/>
          <w:lang w:val="pl-PL"/>
        </w:rPr>
        <w:t>Źródło: Opracowanie własne EY</w:t>
      </w:r>
    </w:p>
    <w:p w14:paraId="584ADE75" w14:textId="77777777" w:rsidR="000D3F74" w:rsidRDefault="00C56639" w:rsidP="008F566E">
      <w:pPr>
        <w:rPr>
          <w:rFonts w:eastAsia="Calibri"/>
          <w:lang w:val="pl-PL"/>
        </w:rPr>
      </w:pPr>
      <w:r w:rsidRPr="00C56639">
        <w:rPr>
          <w:rFonts w:eastAsia="Calibri"/>
          <w:b/>
          <w:lang w:val="pl-PL"/>
        </w:rPr>
        <w:t>P</w:t>
      </w:r>
      <w:r w:rsidR="00377B3F" w:rsidRPr="00770267">
        <w:rPr>
          <w:rFonts w:eastAsia="Calibri"/>
          <w:b/>
          <w:lang w:val="pl-PL"/>
        </w:rPr>
        <w:t xml:space="preserve">rofilaktyka </w:t>
      </w:r>
      <w:r w:rsidR="00577774">
        <w:rPr>
          <w:rFonts w:eastAsia="Calibri"/>
          <w:b/>
          <w:lang w:val="pl-PL"/>
        </w:rPr>
        <w:t xml:space="preserve">pierwszorzędowa </w:t>
      </w:r>
      <w:r w:rsidR="000D3F74">
        <w:rPr>
          <w:rFonts w:eastAsia="Calibri"/>
          <w:lang w:val="pl-PL"/>
        </w:rPr>
        <w:t>dotyczy całej populacji</w:t>
      </w:r>
      <w:r w:rsidR="001C2790">
        <w:rPr>
          <w:rFonts w:eastAsia="Calibri"/>
          <w:lang w:val="pl-PL"/>
        </w:rPr>
        <w:t xml:space="preserve"> oraz obejmuje działania związane </w:t>
      </w:r>
      <w:r w:rsidR="0069196B">
        <w:rPr>
          <w:rFonts w:eastAsia="Calibri"/>
          <w:lang w:val="pl-PL"/>
        </w:rPr>
        <w:t xml:space="preserve">nie tylko </w:t>
      </w:r>
      <w:r w:rsidR="001C2790">
        <w:rPr>
          <w:rFonts w:eastAsia="Calibri"/>
          <w:lang w:val="pl-PL"/>
        </w:rPr>
        <w:t xml:space="preserve">z </w:t>
      </w:r>
      <w:r>
        <w:rPr>
          <w:rFonts w:eastAsia="Calibri"/>
          <w:lang w:val="pl-PL"/>
        </w:rPr>
        <w:t xml:space="preserve">zapobieganiem </w:t>
      </w:r>
      <w:proofErr w:type="spellStart"/>
      <w:r w:rsidR="001C2790">
        <w:rPr>
          <w:rFonts w:eastAsia="Calibri"/>
          <w:lang w:val="pl-PL"/>
        </w:rPr>
        <w:t>PChN</w:t>
      </w:r>
      <w:proofErr w:type="spellEnd"/>
      <w:r w:rsidR="000D3F74">
        <w:rPr>
          <w:rFonts w:eastAsia="Calibri"/>
          <w:lang w:val="pl-PL"/>
        </w:rPr>
        <w:t>,</w:t>
      </w:r>
      <w:r w:rsidR="0069196B">
        <w:rPr>
          <w:rFonts w:eastAsia="Calibri"/>
          <w:lang w:val="pl-PL"/>
        </w:rPr>
        <w:t xml:space="preserve"> ale </w:t>
      </w:r>
      <w:r>
        <w:rPr>
          <w:rFonts w:eastAsia="Calibri"/>
          <w:lang w:val="pl-PL"/>
        </w:rPr>
        <w:t>również zapobieganiem wielu innych chorób</w:t>
      </w:r>
      <w:r w:rsidR="00464933">
        <w:rPr>
          <w:rFonts w:eastAsia="Calibri"/>
          <w:lang w:val="pl-PL"/>
        </w:rPr>
        <w:t>.</w:t>
      </w:r>
      <w:r w:rsidR="00682EFD">
        <w:rPr>
          <w:rFonts w:eastAsia="Calibri"/>
          <w:lang w:val="pl-PL"/>
        </w:rPr>
        <w:t xml:space="preserve"> </w:t>
      </w:r>
      <w:r>
        <w:rPr>
          <w:rFonts w:eastAsia="Calibri"/>
          <w:lang w:val="pl-PL"/>
        </w:rPr>
        <w:t xml:space="preserve">Wczesne zapobieganie przewlekłej chorobie nerek w Polsce </w:t>
      </w:r>
      <w:r w:rsidR="00007A04">
        <w:rPr>
          <w:rFonts w:eastAsia="Calibri"/>
          <w:lang w:val="pl-PL"/>
        </w:rPr>
        <w:t>ma charakter pojedyncz</w:t>
      </w:r>
      <w:r w:rsidR="008A79E0">
        <w:rPr>
          <w:rFonts w:eastAsia="Calibri"/>
          <w:lang w:val="pl-PL"/>
        </w:rPr>
        <w:t xml:space="preserve">ych i </w:t>
      </w:r>
      <w:proofErr w:type="spellStart"/>
      <w:r w:rsidR="008A79E0">
        <w:rPr>
          <w:rFonts w:eastAsia="Calibri"/>
          <w:lang w:val="pl-PL"/>
        </w:rPr>
        <w:t>pozasystemowych</w:t>
      </w:r>
      <w:proofErr w:type="spellEnd"/>
      <w:r w:rsidR="008A79E0">
        <w:rPr>
          <w:rFonts w:eastAsia="Calibri"/>
          <w:lang w:val="pl-PL"/>
        </w:rPr>
        <w:t xml:space="preserve"> inicjatyw w </w:t>
      </w:r>
      <w:r w:rsidR="00007A04">
        <w:rPr>
          <w:rFonts w:eastAsia="Calibri"/>
          <w:lang w:val="pl-PL"/>
        </w:rPr>
        <w:t xml:space="preserve">postaci akcji i kampanii społeczno-edukacyjnych, organizowanych np. przez kliniki uniwersyteckie czy </w:t>
      </w:r>
      <w:r w:rsidR="00221548">
        <w:rPr>
          <w:rFonts w:eastAsia="Calibri"/>
          <w:lang w:val="pl-PL"/>
        </w:rPr>
        <w:t xml:space="preserve">też </w:t>
      </w:r>
      <w:r w:rsidR="00007A04">
        <w:rPr>
          <w:rFonts w:eastAsia="Calibri"/>
          <w:lang w:val="pl-PL"/>
        </w:rPr>
        <w:t>Nefron</w:t>
      </w:r>
      <w:r w:rsidR="002A3011">
        <w:rPr>
          <w:rFonts w:eastAsia="Calibri"/>
          <w:lang w:val="pl-PL"/>
        </w:rPr>
        <w:t xml:space="preserve"> (Sekcja Nefrologiczna Izby Gospodarczej Medycyna Polska)</w:t>
      </w:r>
      <w:r w:rsidR="007500DD">
        <w:rPr>
          <w:rFonts w:eastAsia="Calibri"/>
          <w:lang w:val="pl-PL"/>
        </w:rPr>
        <w:t xml:space="preserve"> lub poszczególnych świadczeniodawców</w:t>
      </w:r>
      <w:r w:rsidR="00007A04">
        <w:rPr>
          <w:rFonts w:eastAsia="Calibri"/>
          <w:lang w:val="pl-PL"/>
        </w:rPr>
        <w:t xml:space="preserve">. Edukacja pacjentów </w:t>
      </w:r>
      <w:r w:rsidR="00FC360F">
        <w:rPr>
          <w:rFonts w:eastAsia="Calibri"/>
          <w:lang w:val="pl-PL"/>
        </w:rPr>
        <w:t xml:space="preserve">i dostęp do informacji </w:t>
      </w:r>
      <w:r w:rsidR="00007A04">
        <w:rPr>
          <w:rFonts w:eastAsia="Calibri"/>
          <w:lang w:val="pl-PL"/>
        </w:rPr>
        <w:t>dotycząc</w:t>
      </w:r>
      <w:r w:rsidR="00FC360F">
        <w:rPr>
          <w:rFonts w:eastAsia="Calibri"/>
          <w:lang w:val="pl-PL"/>
        </w:rPr>
        <w:t>y</w:t>
      </w:r>
      <w:r w:rsidR="00007A04">
        <w:rPr>
          <w:rFonts w:eastAsia="Calibri"/>
          <w:lang w:val="pl-PL"/>
        </w:rPr>
        <w:t xml:space="preserve"> </w:t>
      </w:r>
      <w:proofErr w:type="spellStart"/>
      <w:r w:rsidR="00007A04">
        <w:rPr>
          <w:rFonts w:eastAsia="Calibri"/>
          <w:lang w:val="pl-PL"/>
        </w:rPr>
        <w:t>PChN</w:t>
      </w:r>
      <w:proofErr w:type="spellEnd"/>
      <w:r w:rsidR="00007A04">
        <w:rPr>
          <w:rFonts w:eastAsia="Calibri"/>
          <w:lang w:val="pl-PL"/>
        </w:rPr>
        <w:t xml:space="preserve"> nie </w:t>
      </w:r>
      <w:r w:rsidR="00FC360F">
        <w:rPr>
          <w:rFonts w:eastAsia="Calibri"/>
          <w:lang w:val="pl-PL"/>
        </w:rPr>
        <w:t>są</w:t>
      </w:r>
      <w:r w:rsidR="00007A04">
        <w:rPr>
          <w:rFonts w:eastAsia="Calibri"/>
          <w:lang w:val="pl-PL"/>
        </w:rPr>
        <w:t xml:space="preserve"> finansowan</w:t>
      </w:r>
      <w:r w:rsidR="00FC360F">
        <w:rPr>
          <w:rFonts w:eastAsia="Calibri"/>
          <w:lang w:val="pl-PL"/>
        </w:rPr>
        <w:t>e</w:t>
      </w:r>
      <w:r w:rsidR="00007A04">
        <w:rPr>
          <w:rFonts w:eastAsia="Calibri"/>
          <w:lang w:val="pl-PL"/>
        </w:rPr>
        <w:t xml:space="preserve"> w ramach świadczeń gwarantowanych ze środków publicznych. W tym zakresie wyraźnie brakuje w Polsce usystematyzowanych i rozpowszechnionych</w:t>
      </w:r>
      <w:r w:rsidR="00D8019E">
        <w:rPr>
          <w:rFonts w:eastAsia="Calibri"/>
          <w:lang w:val="pl-PL"/>
        </w:rPr>
        <w:t xml:space="preserve"> inicjatyw planowanych i realizowanych </w:t>
      </w:r>
      <w:r w:rsidR="00D40E08">
        <w:rPr>
          <w:rFonts w:eastAsia="Calibri"/>
          <w:lang w:val="pl-PL"/>
        </w:rPr>
        <w:t>na skalę ogólnokrajową</w:t>
      </w:r>
      <w:r w:rsidR="00A20876">
        <w:rPr>
          <w:rFonts w:eastAsia="Calibri"/>
          <w:lang w:val="pl-PL"/>
        </w:rPr>
        <w:t xml:space="preserve"> czy wojewódzką (przez samorządy)</w:t>
      </w:r>
      <w:r w:rsidR="00D40E08">
        <w:rPr>
          <w:rFonts w:eastAsia="Calibri"/>
          <w:lang w:val="pl-PL"/>
        </w:rPr>
        <w:t xml:space="preserve">, nacelowanych nie tylko na </w:t>
      </w:r>
      <w:proofErr w:type="spellStart"/>
      <w:r w:rsidR="00D40E08">
        <w:rPr>
          <w:rFonts w:eastAsia="Calibri"/>
          <w:lang w:val="pl-PL"/>
        </w:rPr>
        <w:t>PChN</w:t>
      </w:r>
      <w:proofErr w:type="spellEnd"/>
      <w:r w:rsidR="00D40E08">
        <w:rPr>
          <w:rFonts w:eastAsia="Calibri"/>
          <w:lang w:val="pl-PL"/>
        </w:rPr>
        <w:t xml:space="preserve">, ale i pozostałe choroby cywilizacyjne. Wspomniane braki </w:t>
      </w:r>
      <w:r w:rsidR="00C67235">
        <w:rPr>
          <w:rFonts w:eastAsia="Calibri"/>
          <w:lang w:val="pl-PL"/>
        </w:rPr>
        <w:t xml:space="preserve">w zakresie profilaktyki </w:t>
      </w:r>
      <w:r w:rsidR="00577774">
        <w:rPr>
          <w:rFonts w:eastAsia="Calibri"/>
          <w:lang w:val="pl-PL"/>
        </w:rPr>
        <w:t>pierwszo-</w:t>
      </w:r>
      <w:r w:rsidR="00C67235">
        <w:rPr>
          <w:rFonts w:eastAsia="Calibri"/>
          <w:lang w:val="pl-PL"/>
        </w:rPr>
        <w:t xml:space="preserve">, jak i </w:t>
      </w:r>
      <w:r w:rsidR="00577774">
        <w:rPr>
          <w:rFonts w:eastAsia="Calibri"/>
          <w:lang w:val="pl-PL"/>
        </w:rPr>
        <w:t xml:space="preserve">drugorzędowej </w:t>
      </w:r>
      <w:r w:rsidR="004A467E">
        <w:rPr>
          <w:rFonts w:eastAsia="Calibri"/>
          <w:lang w:val="pl-PL"/>
        </w:rPr>
        <w:t xml:space="preserve">opisano </w:t>
      </w:r>
      <w:r w:rsidR="00D40E08">
        <w:rPr>
          <w:rFonts w:eastAsia="Calibri"/>
          <w:lang w:val="pl-PL"/>
        </w:rPr>
        <w:t>w dokumencie Ministerstwa Zdrowia z lipca 2015 r. pt. „</w:t>
      </w:r>
      <w:r w:rsidR="00D40E08" w:rsidRPr="00D40E08">
        <w:rPr>
          <w:rFonts w:eastAsia="Calibri"/>
          <w:lang w:val="pl-PL"/>
        </w:rPr>
        <w:t xml:space="preserve">Krajowe ramy strategiczne. Policy </w:t>
      </w:r>
      <w:proofErr w:type="spellStart"/>
      <w:r w:rsidR="00D40E08" w:rsidRPr="00D40E08">
        <w:rPr>
          <w:rFonts w:eastAsia="Calibri"/>
          <w:lang w:val="pl-PL"/>
        </w:rPr>
        <w:t>paper</w:t>
      </w:r>
      <w:proofErr w:type="spellEnd"/>
      <w:r w:rsidR="00D40E08" w:rsidRPr="00D40E08">
        <w:rPr>
          <w:rFonts w:eastAsia="Calibri"/>
          <w:lang w:val="pl-PL"/>
        </w:rPr>
        <w:t xml:space="preserve"> dla ochrony zdrowia na lata 2014-2020</w:t>
      </w:r>
      <w:r w:rsidR="00D40E08">
        <w:rPr>
          <w:rFonts w:eastAsia="Calibri"/>
          <w:lang w:val="pl-PL"/>
        </w:rPr>
        <w:t>” w rozdziale dotyczący</w:t>
      </w:r>
      <w:r w:rsidR="00C67235">
        <w:rPr>
          <w:rFonts w:eastAsia="Calibri"/>
          <w:lang w:val="pl-PL"/>
        </w:rPr>
        <w:t>m</w:t>
      </w:r>
      <w:r w:rsidR="00D40E08">
        <w:rPr>
          <w:rFonts w:eastAsia="Calibri"/>
          <w:lang w:val="pl-PL"/>
        </w:rPr>
        <w:t xml:space="preserve"> profilaktyki i promocji zdrowia </w:t>
      </w:r>
      <w:r w:rsidR="00D40E08">
        <w:rPr>
          <w:rFonts w:eastAsia="Calibri"/>
          <w:lang w:val="pl-PL"/>
        </w:rPr>
        <w:lastRenderedPageBreak/>
        <w:t>w Polsce</w:t>
      </w:r>
      <w:r w:rsidR="00573981" w:rsidRPr="00C67235">
        <w:rPr>
          <w:rStyle w:val="Odwoanieprzypisudolnego"/>
          <w:rFonts w:eastAsia="Calibri"/>
          <w:sz w:val="22"/>
          <w:szCs w:val="22"/>
          <w:lang w:val="pl-PL"/>
        </w:rPr>
        <w:footnoteReference w:id="55"/>
      </w:r>
      <w:r w:rsidR="00C67235">
        <w:rPr>
          <w:rFonts w:eastAsia="Calibri"/>
          <w:lang w:val="pl-PL"/>
        </w:rPr>
        <w:t>:</w:t>
      </w:r>
    </w:p>
    <w:p w14:paraId="4B451E4C" w14:textId="77777777" w:rsidR="00D40E08" w:rsidRDefault="00D40E08" w:rsidP="00D40E08">
      <w:pPr>
        <w:rPr>
          <w:rFonts w:eastAsia="Calibri"/>
          <w:lang w:val="pl-PL"/>
        </w:rPr>
      </w:pPr>
      <w:r>
        <w:rPr>
          <w:rFonts w:eastAsia="Calibri"/>
          <w:lang w:val="pl-PL"/>
        </w:rPr>
        <w:t>„</w:t>
      </w:r>
      <w:r w:rsidRPr="00D40E08">
        <w:rPr>
          <w:rFonts w:eastAsia="Calibri"/>
          <w:i/>
          <w:lang w:val="pl-PL"/>
        </w:rPr>
        <w:t>Problemem polskiego systemu opieki zdrowotnej są niska świadomość zdrowotna społeczeństwa oraz wykrywalność chorób w zaawansowanych stadiach rozwojowych, co znacznie zmniejsza szanse na całkowite wyleczenie. Sytuacja ta wynika m.in. z faktu, że w Polsce odnotowuje się deficyt finansowania działań profilaktycznych, nie tylko służących zwiększeniu dostępu do badań diagnostycznych, ale również mających na celu podniesienie wiedzy społeczeństwa w zakresie chorobotwórczych czynników ryzyka i zdrowego stylu życia.</w:t>
      </w:r>
      <w:r>
        <w:rPr>
          <w:rFonts w:eastAsia="Calibri"/>
          <w:lang w:val="pl-PL"/>
        </w:rPr>
        <w:t>”</w:t>
      </w:r>
    </w:p>
    <w:p w14:paraId="35A823C0" w14:textId="77777777" w:rsidR="008F566E" w:rsidRDefault="00682EFD" w:rsidP="008F566E">
      <w:pPr>
        <w:rPr>
          <w:rFonts w:eastAsia="Calibri"/>
          <w:lang w:val="pl-PL"/>
        </w:rPr>
      </w:pPr>
      <w:r w:rsidRPr="00770267">
        <w:rPr>
          <w:rFonts w:eastAsia="Calibri"/>
          <w:b/>
          <w:lang w:val="pl-PL"/>
        </w:rPr>
        <w:t xml:space="preserve">Profilaktyka </w:t>
      </w:r>
      <w:r w:rsidR="00577774">
        <w:rPr>
          <w:rFonts w:eastAsia="Calibri"/>
          <w:b/>
          <w:lang w:val="pl-PL"/>
        </w:rPr>
        <w:t>drugorzędowa</w:t>
      </w:r>
      <w:r w:rsidR="00C35A79">
        <w:rPr>
          <w:rFonts w:eastAsia="Calibri"/>
          <w:b/>
          <w:lang w:val="pl-PL"/>
        </w:rPr>
        <w:t xml:space="preserve"> </w:t>
      </w:r>
      <w:r w:rsidR="00C35A79">
        <w:rPr>
          <w:rFonts w:eastAsia="Calibri"/>
          <w:lang w:val="pl-PL"/>
        </w:rPr>
        <w:t xml:space="preserve">ma </w:t>
      </w:r>
      <w:r w:rsidR="00007A04">
        <w:rPr>
          <w:rFonts w:eastAsia="Calibri"/>
          <w:lang w:val="pl-PL"/>
        </w:rPr>
        <w:t>kluczowe</w:t>
      </w:r>
      <w:r w:rsidR="00C35A79">
        <w:rPr>
          <w:rFonts w:eastAsia="Calibri"/>
          <w:lang w:val="pl-PL"/>
        </w:rPr>
        <w:t xml:space="preserve"> znaczenie, ponieważ wczesne </w:t>
      </w:r>
      <w:r w:rsidR="007F5508">
        <w:rPr>
          <w:rFonts w:eastAsia="Calibri"/>
          <w:lang w:val="pl-PL"/>
        </w:rPr>
        <w:t>rozpoznanie</w:t>
      </w:r>
      <w:r w:rsidR="00C35A79">
        <w:rPr>
          <w:rFonts w:eastAsia="Calibri"/>
          <w:lang w:val="pl-PL"/>
        </w:rPr>
        <w:t xml:space="preserve"> </w:t>
      </w:r>
      <w:r w:rsidR="007F5508">
        <w:rPr>
          <w:rFonts w:eastAsia="Calibri"/>
          <w:lang w:val="pl-PL"/>
        </w:rPr>
        <w:t xml:space="preserve">i rozpoczęcie leczenia </w:t>
      </w:r>
      <w:proofErr w:type="spellStart"/>
      <w:r w:rsidR="007F5508">
        <w:rPr>
          <w:rFonts w:eastAsia="Calibri"/>
          <w:lang w:val="pl-PL"/>
        </w:rPr>
        <w:t>PChN</w:t>
      </w:r>
      <w:proofErr w:type="spellEnd"/>
      <w:r w:rsidR="007F5508">
        <w:rPr>
          <w:rFonts w:eastAsia="Calibri"/>
          <w:lang w:val="pl-PL"/>
        </w:rPr>
        <w:t xml:space="preserve"> spowalnia</w:t>
      </w:r>
      <w:r w:rsidR="00007A04">
        <w:rPr>
          <w:rFonts w:eastAsia="Calibri"/>
          <w:lang w:val="pl-PL"/>
        </w:rPr>
        <w:t xml:space="preserve"> (lub hamuje)</w:t>
      </w:r>
      <w:r w:rsidR="007F5508">
        <w:rPr>
          <w:rFonts w:eastAsia="Calibri"/>
          <w:lang w:val="pl-PL"/>
        </w:rPr>
        <w:t xml:space="preserve"> progresję choroby, zapobiega </w:t>
      </w:r>
      <w:r w:rsidR="00007A04">
        <w:rPr>
          <w:rFonts w:eastAsia="Calibri"/>
          <w:lang w:val="pl-PL"/>
        </w:rPr>
        <w:t>i</w:t>
      </w:r>
      <w:r w:rsidR="007F5508">
        <w:rPr>
          <w:rFonts w:eastAsia="Calibri"/>
          <w:lang w:val="pl-PL"/>
        </w:rPr>
        <w:t xml:space="preserve"> minimalizuje powikłania oraz pozwala uniknąć przedwczesnego leczenia nerkozastępczego. Profilaktyka </w:t>
      </w:r>
      <w:r w:rsidR="00577774">
        <w:rPr>
          <w:rFonts w:eastAsia="Calibri"/>
          <w:lang w:val="pl-PL"/>
        </w:rPr>
        <w:t>wtórna</w:t>
      </w:r>
      <w:r w:rsidR="00893E31">
        <w:rPr>
          <w:rFonts w:eastAsia="Calibri"/>
          <w:lang w:val="pl-PL"/>
        </w:rPr>
        <w:t>,</w:t>
      </w:r>
      <w:r>
        <w:rPr>
          <w:rFonts w:eastAsia="Calibri"/>
          <w:lang w:val="pl-PL"/>
        </w:rPr>
        <w:t xml:space="preserve"> uwzględniająca r</w:t>
      </w:r>
      <w:r w:rsidR="008F566E">
        <w:rPr>
          <w:rFonts w:eastAsia="Calibri"/>
          <w:lang w:val="pl-PL"/>
        </w:rPr>
        <w:t xml:space="preserve">ozpoznanie </w:t>
      </w:r>
      <w:r w:rsidR="00701DF9">
        <w:rPr>
          <w:rFonts w:eastAsia="Calibri"/>
          <w:lang w:val="pl-PL"/>
        </w:rPr>
        <w:t>choroby</w:t>
      </w:r>
      <w:r w:rsidR="008F566E">
        <w:rPr>
          <w:rFonts w:eastAsia="Calibri"/>
          <w:lang w:val="pl-PL"/>
        </w:rPr>
        <w:t xml:space="preserve">, w tym </w:t>
      </w:r>
      <w:proofErr w:type="spellStart"/>
      <w:r w:rsidR="008F566E">
        <w:rPr>
          <w:rFonts w:eastAsia="Calibri"/>
          <w:lang w:val="pl-PL"/>
        </w:rPr>
        <w:t>PChN</w:t>
      </w:r>
      <w:proofErr w:type="spellEnd"/>
      <w:r w:rsidR="008F566E">
        <w:rPr>
          <w:rFonts w:eastAsia="Calibri"/>
          <w:lang w:val="pl-PL"/>
        </w:rPr>
        <w:t>, zależy przede wszystkim od czterech czynników:</w:t>
      </w:r>
    </w:p>
    <w:p w14:paraId="0E7043EF" w14:textId="77777777" w:rsidR="008F566E" w:rsidRDefault="008F566E" w:rsidP="00F84B72">
      <w:pPr>
        <w:pStyle w:val="EYBulletedList1"/>
        <w:numPr>
          <w:ilvl w:val="0"/>
          <w:numId w:val="11"/>
        </w:numPr>
        <w:ind w:left="289" w:hanging="289"/>
        <w:jc w:val="both"/>
        <w:rPr>
          <w:rFonts w:eastAsia="Calibri"/>
          <w:sz w:val="22"/>
          <w:lang w:val="pl-PL"/>
        </w:rPr>
      </w:pPr>
      <w:r w:rsidRPr="003A0E51">
        <w:rPr>
          <w:rFonts w:eastAsia="Calibri"/>
          <w:sz w:val="22"/>
          <w:lang w:val="pl-PL"/>
        </w:rPr>
        <w:t>usystematyzowanego podejścia</w:t>
      </w:r>
    </w:p>
    <w:p w14:paraId="03EAF0BC" w14:textId="77777777" w:rsidR="008F566E" w:rsidRPr="003A0E51" w:rsidRDefault="008F566E" w:rsidP="00F84B72">
      <w:pPr>
        <w:pStyle w:val="EYBulletedList1"/>
        <w:numPr>
          <w:ilvl w:val="0"/>
          <w:numId w:val="11"/>
        </w:numPr>
        <w:ind w:left="289" w:hanging="289"/>
        <w:jc w:val="both"/>
        <w:rPr>
          <w:rFonts w:eastAsia="Calibri"/>
          <w:sz w:val="22"/>
          <w:lang w:val="pl-PL"/>
        </w:rPr>
      </w:pPr>
      <w:r w:rsidRPr="003A0E51">
        <w:rPr>
          <w:rFonts w:eastAsia="Calibri"/>
          <w:sz w:val="22"/>
          <w:lang w:val="pl-PL"/>
        </w:rPr>
        <w:t xml:space="preserve">objawów klinicznych </w:t>
      </w:r>
      <w:r>
        <w:rPr>
          <w:rFonts w:eastAsia="Calibri"/>
          <w:sz w:val="22"/>
          <w:lang w:val="pl-PL"/>
        </w:rPr>
        <w:t xml:space="preserve">(symptomów) </w:t>
      </w:r>
      <w:r w:rsidR="00201FBF">
        <w:rPr>
          <w:rFonts w:eastAsia="Calibri"/>
          <w:sz w:val="22"/>
          <w:lang w:val="pl-PL"/>
        </w:rPr>
        <w:t>choroby</w:t>
      </w:r>
    </w:p>
    <w:p w14:paraId="672205A8" w14:textId="77777777" w:rsidR="008F566E" w:rsidRPr="003A0E51" w:rsidRDefault="008F566E" w:rsidP="00F84B72">
      <w:pPr>
        <w:pStyle w:val="EYBulletedList1"/>
        <w:numPr>
          <w:ilvl w:val="0"/>
          <w:numId w:val="11"/>
        </w:numPr>
        <w:ind w:left="289" w:hanging="289"/>
        <w:jc w:val="both"/>
        <w:rPr>
          <w:rFonts w:eastAsia="Calibri"/>
          <w:sz w:val="22"/>
          <w:lang w:val="pl-PL"/>
        </w:rPr>
      </w:pPr>
      <w:proofErr w:type="spellStart"/>
      <w:r>
        <w:rPr>
          <w:rFonts w:eastAsia="Calibri"/>
          <w:sz w:val="22"/>
          <w:lang w:val="pl-PL"/>
        </w:rPr>
        <w:t>pozasystemowej</w:t>
      </w:r>
      <w:proofErr w:type="spellEnd"/>
      <w:r>
        <w:rPr>
          <w:rFonts w:eastAsia="Calibri"/>
          <w:sz w:val="22"/>
          <w:lang w:val="pl-PL"/>
        </w:rPr>
        <w:t xml:space="preserve"> (ogólnej) </w:t>
      </w:r>
      <w:r w:rsidRPr="003A0E51">
        <w:rPr>
          <w:rFonts w:eastAsia="Calibri"/>
          <w:sz w:val="22"/>
          <w:lang w:val="pl-PL"/>
        </w:rPr>
        <w:t>czujności</w:t>
      </w:r>
      <w:r>
        <w:rPr>
          <w:rFonts w:eastAsia="Calibri"/>
          <w:sz w:val="22"/>
          <w:lang w:val="pl-PL"/>
        </w:rPr>
        <w:t xml:space="preserve"> i rzetelności</w:t>
      </w:r>
      <w:r w:rsidRPr="003A0E51">
        <w:rPr>
          <w:rFonts w:eastAsia="Calibri"/>
          <w:sz w:val="22"/>
          <w:lang w:val="pl-PL"/>
        </w:rPr>
        <w:t xml:space="preserve"> lekarzy</w:t>
      </w:r>
    </w:p>
    <w:p w14:paraId="1F3FE210" w14:textId="77777777" w:rsidR="008F566E" w:rsidRPr="003A0E51" w:rsidRDefault="008F566E" w:rsidP="00F84B72">
      <w:pPr>
        <w:pStyle w:val="EYBulletedList1"/>
        <w:numPr>
          <w:ilvl w:val="0"/>
          <w:numId w:val="11"/>
        </w:numPr>
        <w:ind w:left="289" w:hanging="289"/>
        <w:jc w:val="both"/>
        <w:rPr>
          <w:rFonts w:eastAsia="Calibri"/>
          <w:sz w:val="22"/>
          <w:lang w:val="pl-PL"/>
        </w:rPr>
      </w:pPr>
      <w:r w:rsidRPr="003A0E51">
        <w:rPr>
          <w:rFonts w:eastAsia="Calibri"/>
          <w:sz w:val="22"/>
          <w:lang w:val="pl-PL"/>
        </w:rPr>
        <w:t>przypadku</w:t>
      </w:r>
    </w:p>
    <w:p w14:paraId="70D04618" w14:textId="0F2C3DBD" w:rsidR="00893E31" w:rsidRDefault="008F566E" w:rsidP="008F566E">
      <w:pPr>
        <w:rPr>
          <w:rFonts w:eastAsia="Calibri"/>
          <w:lang w:val="pl-PL"/>
        </w:rPr>
      </w:pPr>
      <w:r>
        <w:rPr>
          <w:rFonts w:eastAsia="Calibri"/>
          <w:lang w:val="pl-PL"/>
        </w:rPr>
        <w:t xml:space="preserve">W wielu </w:t>
      </w:r>
      <w:r w:rsidR="009F6DC8">
        <w:rPr>
          <w:rFonts w:eastAsia="Calibri"/>
          <w:lang w:val="pl-PL"/>
        </w:rPr>
        <w:t>modelach</w:t>
      </w:r>
      <w:r>
        <w:rPr>
          <w:rFonts w:eastAsia="Calibri"/>
          <w:lang w:val="pl-PL"/>
        </w:rPr>
        <w:t xml:space="preserve"> opieki zdrowotnej</w:t>
      </w:r>
      <w:r w:rsidR="008F4B49">
        <w:rPr>
          <w:rFonts w:eastAsia="Calibri"/>
          <w:lang w:val="pl-PL"/>
        </w:rPr>
        <w:t xml:space="preserve"> obserwuje się obecność wszystkich czterech</w:t>
      </w:r>
      <w:r>
        <w:rPr>
          <w:rFonts w:eastAsia="Calibri"/>
          <w:lang w:val="pl-PL"/>
        </w:rPr>
        <w:t xml:space="preserve"> czynnik</w:t>
      </w:r>
      <w:r w:rsidR="00A95C26">
        <w:rPr>
          <w:rFonts w:eastAsia="Calibri"/>
          <w:lang w:val="pl-PL"/>
        </w:rPr>
        <w:t>ów</w:t>
      </w:r>
      <w:r>
        <w:rPr>
          <w:rFonts w:eastAsia="Calibri"/>
          <w:lang w:val="pl-PL"/>
        </w:rPr>
        <w:t xml:space="preserve"> równolegle, a jakość modelu opieki i efekty zdrowotne zależą od wielkości udziału poszczególnych czynników.</w:t>
      </w:r>
      <w:r w:rsidR="00767DF4">
        <w:rPr>
          <w:rFonts w:eastAsia="Calibri"/>
          <w:lang w:val="pl-PL"/>
        </w:rPr>
        <w:t xml:space="preserve"> </w:t>
      </w:r>
      <w:r>
        <w:rPr>
          <w:rFonts w:eastAsia="Calibri"/>
          <w:lang w:val="pl-PL"/>
        </w:rPr>
        <w:t>Aktualn</w:t>
      </w:r>
      <w:r w:rsidR="00441681">
        <w:rPr>
          <w:rFonts w:eastAsia="Calibri"/>
          <w:lang w:val="pl-PL"/>
        </w:rPr>
        <w:t xml:space="preserve">a sytuacja </w:t>
      </w:r>
      <w:r w:rsidR="00682EFD">
        <w:rPr>
          <w:rFonts w:eastAsia="Calibri"/>
          <w:lang w:val="pl-PL"/>
        </w:rPr>
        <w:t xml:space="preserve">w Polsce </w:t>
      </w:r>
      <w:r w:rsidR="00441681">
        <w:rPr>
          <w:rFonts w:eastAsia="Calibri"/>
          <w:lang w:val="pl-PL"/>
        </w:rPr>
        <w:t xml:space="preserve">związana z rozpoznawalnością </w:t>
      </w:r>
      <w:proofErr w:type="spellStart"/>
      <w:r w:rsidR="00441681">
        <w:rPr>
          <w:rFonts w:eastAsia="Calibri"/>
          <w:lang w:val="pl-PL"/>
        </w:rPr>
        <w:t>PChN</w:t>
      </w:r>
      <w:proofErr w:type="spellEnd"/>
      <w:r w:rsidR="00441681">
        <w:rPr>
          <w:rFonts w:eastAsia="Calibri"/>
          <w:lang w:val="pl-PL"/>
        </w:rPr>
        <w:t xml:space="preserve"> </w:t>
      </w:r>
      <w:r>
        <w:rPr>
          <w:rFonts w:eastAsia="Calibri"/>
          <w:lang w:val="pl-PL"/>
        </w:rPr>
        <w:t>wskazuje</w:t>
      </w:r>
      <w:r w:rsidR="009F6DC8">
        <w:rPr>
          <w:rFonts w:eastAsia="Calibri"/>
          <w:lang w:val="pl-PL"/>
        </w:rPr>
        <w:t xml:space="preserve"> </w:t>
      </w:r>
      <w:r>
        <w:rPr>
          <w:rFonts w:eastAsia="Calibri"/>
          <w:lang w:val="pl-PL"/>
        </w:rPr>
        <w:t xml:space="preserve">na dominację </w:t>
      </w:r>
      <w:proofErr w:type="spellStart"/>
      <w:r>
        <w:rPr>
          <w:rFonts w:eastAsia="Calibri"/>
          <w:lang w:val="pl-PL"/>
        </w:rPr>
        <w:t>pozasystemowej</w:t>
      </w:r>
      <w:proofErr w:type="spellEnd"/>
      <w:r>
        <w:rPr>
          <w:rFonts w:eastAsia="Calibri"/>
          <w:lang w:val="pl-PL"/>
        </w:rPr>
        <w:t xml:space="preserve"> czujności i rzetelności lekarzy</w:t>
      </w:r>
      <w:r w:rsidR="00B40241">
        <w:rPr>
          <w:rFonts w:eastAsia="Calibri"/>
          <w:lang w:val="pl-PL"/>
        </w:rPr>
        <w:t xml:space="preserve"> (głównie specjalistów),</w:t>
      </w:r>
      <w:r>
        <w:rPr>
          <w:rFonts w:eastAsia="Calibri"/>
          <w:lang w:val="pl-PL"/>
        </w:rPr>
        <w:t xml:space="preserve"> przypadku w rozpoznaniu oraz przebiegu choroby z </w:t>
      </w:r>
      <w:r w:rsidR="007500DD">
        <w:rPr>
          <w:rFonts w:eastAsia="Calibri"/>
          <w:lang w:val="pl-PL"/>
        </w:rPr>
        <w:t xml:space="preserve">poważnymi </w:t>
      </w:r>
      <w:r>
        <w:rPr>
          <w:rFonts w:eastAsia="Calibri"/>
          <w:lang w:val="pl-PL"/>
        </w:rPr>
        <w:t xml:space="preserve">objawami klinicznymi. </w:t>
      </w:r>
      <w:r w:rsidR="00C35A79">
        <w:rPr>
          <w:rFonts w:eastAsia="Calibri"/>
          <w:lang w:val="pl-PL"/>
        </w:rPr>
        <w:t xml:space="preserve">Z tego powodu </w:t>
      </w:r>
      <w:r>
        <w:rPr>
          <w:rFonts w:eastAsia="Calibri"/>
          <w:lang w:val="pl-PL"/>
        </w:rPr>
        <w:t xml:space="preserve">wykrywalność </w:t>
      </w:r>
      <w:proofErr w:type="spellStart"/>
      <w:r>
        <w:rPr>
          <w:rFonts w:eastAsia="Calibri"/>
          <w:lang w:val="pl-PL"/>
        </w:rPr>
        <w:t>PChN</w:t>
      </w:r>
      <w:proofErr w:type="spellEnd"/>
      <w:r>
        <w:rPr>
          <w:rFonts w:eastAsia="Calibri"/>
          <w:lang w:val="pl-PL"/>
        </w:rPr>
        <w:t xml:space="preserve"> w Polsce następuje relatywnie późno</w:t>
      </w:r>
      <w:r w:rsidR="00682EFD">
        <w:rPr>
          <w:rFonts w:eastAsia="Calibri"/>
          <w:lang w:val="pl-PL"/>
        </w:rPr>
        <w:t xml:space="preserve">, a pacjenci </w:t>
      </w:r>
      <w:r w:rsidR="009F6DC8">
        <w:rPr>
          <w:rFonts w:eastAsia="Calibri"/>
          <w:lang w:val="pl-PL"/>
        </w:rPr>
        <w:t>w krótkim czasie</w:t>
      </w:r>
      <w:r w:rsidR="00682EFD">
        <w:rPr>
          <w:rFonts w:eastAsia="Calibri"/>
          <w:lang w:val="pl-PL"/>
        </w:rPr>
        <w:t xml:space="preserve"> od rozpoznania choroby rozpoczynają leczenie nerkozastępcze</w:t>
      </w:r>
      <w:r>
        <w:rPr>
          <w:rFonts w:eastAsia="Calibri"/>
          <w:lang w:val="pl-PL"/>
        </w:rPr>
        <w:t>.</w:t>
      </w:r>
      <w:r w:rsidR="00767DF4">
        <w:rPr>
          <w:rFonts w:eastAsia="Calibri"/>
          <w:lang w:val="pl-PL"/>
        </w:rPr>
        <w:t xml:space="preserve"> Główną rolę w wykrywaniu </w:t>
      </w:r>
      <w:proofErr w:type="spellStart"/>
      <w:r w:rsidR="00767DF4">
        <w:rPr>
          <w:rFonts w:eastAsia="Calibri"/>
          <w:lang w:val="pl-PL"/>
        </w:rPr>
        <w:t>PChN</w:t>
      </w:r>
      <w:proofErr w:type="spellEnd"/>
      <w:r w:rsidR="00767DF4">
        <w:rPr>
          <w:rFonts w:eastAsia="Calibri"/>
          <w:lang w:val="pl-PL"/>
        </w:rPr>
        <w:t xml:space="preserve"> w Polsce odgrywają lekarze specjaliści – nie tylko nefr</w:t>
      </w:r>
      <w:r w:rsidR="00770267">
        <w:rPr>
          <w:rFonts w:eastAsia="Calibri"/>
          <w:lang w:val="pl-PL"/>
        </w:rPr>
        <w:t>olodzy, ale również specjaliści</w:t>
      </w:r>
      <w:r w:rsidR="00767DF4">
        <w:rPr>
          <w:rFonts w:eastAsia="Calibri"/>
          <w:lang w:val="pl-PL"/>
        </w:rPr>
        <w:t xml:space="preserve"> tacy jak kardiolodzy, diabetolodzy i urolodzy. Do wymienionych specjalistów trafiają pacjenci z grup wysokiego ryzyka zachorowania na </w:t>
      </w:r>
      <w:proofErr w:type="spellStart"/>
      <w:r w:rsidR="00767DF4">
        <w:rPr>
          <w:rFonts w:eastAsia="Calibri"/>
          <w:lang w:val="pl-PL"/>
        </w:rPr>
        <w:t>PChN</w:t>
      </w:r>
      <w:proofErr w:type="spellEnd"/>
      <w:r w:rsidR="00B40241">
        <w:rPr>
          <w:rFonts w:eastAsia="Calibri"/>
          <w:lang w:val="pl-PL"/>
        </w:rPr>
        <w:t xml:space="preserve"> lub z </w:t>
      </w:r>
      <w:r w:rsidR="007500DD">
        <w:rPr>
          <w:rFonts w:eastAsia="Calibri"/>
          <w:lang w:val="pl-PL"/>
        </w:rPr>
        <w:t xml:space="preserve">poważnymi </w:t>
      </w:r>
      <w:r w:rsidR="00B40241">
        <w:rPr>
          <w:rFonts w:eastAsia="Calibri"/>
          <w:lang w:val="pl-PL"/>
        </w:rPr>
        <w:t>i swoistymi objawami choroby. Sprawia to</w:t>
      </w:r>
      <w:r w:rsidR="00767DF4">
        <w:rPr>
          <w:rFonts w:eastAsia="Calibri"/>
          <w:lang w:val="pl-PL"/>
        </w:rPr>
        <w:t xml:space="preserve">, że lekarze </w:t>
      </w:r>
      <w:r w:rsidR="00B40241">
        <w:rPr>
          <w:rFonts w:eastAsia="Calibri"/>
          <w:lang w:val="pl-PL"/>
        </w:rPr>
        <w:t xml:space="preserve">specjaliści są </w:t>
      </w:r>
      <w:r w:rsidR="00767DF4">
        <w:rPr>
          <w:rFonts w:eastAsia="Calibri"/>
          <w:lang w:val="pl-PL"/>
        </w:rPr>
        <w:t xml:space="preserve">czujni i wrażliwi </w:t>
      </w:r>
      <w:r w:rsidR="00B40241">
        <w:rPr>
          <w:rFonts w:eastAsia="Calibri"/>
          <w:lang w:val="pl-PL"/>
        </w:rPr>
        <w:t xml:space="preserve">w kontekście wykrywania </w:t>
      </w:r>
      <w:proofErr w:type="spellStart"/>
      <w:r w:rsidR="00767DF4">
        <w:rPr>
          <w:rFonts w:eastAsia="Calibri"/>
          <w:lang w:val="pl-PL"/>
        </w:rPr>
        <w:t>PChN</w:t>
      </w:r>
      <w:proofErr w:type="spellEnd"/>
      <w:r w:rsidR="00767DF4">
        <w:rPr>
          <w:rFonts w:eastAsia="Calibri"/>
          <w:lang w:val="pl-PL"/>
        </w:rPr>
        <w:t xml:space="preserve"> wśród swoich pacjentów</w:t>
      </w:r>
      <w:r w:rsidR="00B40241">
        <w:rPr>
          <w:rFonts w:eastAsia="Calibri"/>
          <w:lang w:val="pl-PL"/>
        </w:rPr>
        <w:t xml:space="preserve"> i w rzeczywistości pełnią </w:t>
      </w:r>
      <w:r w:rsidR="00A829CC">
        <w:rPr>
          <w:rFonts w:eastAsia="Calibri"/>
          <w:lang w:val="pl-PL"/>
        </w:rPr>
        <w:t xml:space="preserve">istotną </w:t>
      </w:r>
      <w:r w:rsidR="00B40241">
        <w:rPr>
          <w:rFonts w:eastAsia="Calibri"/>
          <w:lang w:val="pl-PL"/>
        </w:rPr>
        <w:t>rolę w zakresie rozpoznawania tego schorzenia</w:t>
      </w:r>
      <w:r w:rsidR="00767DF4">
        <w:rPr>
          <w:rFonts w:eastAsia="Calibri"/>
          <w:lang w:val="pl-PL"/>
        </w:rPr>
        <w:t>.</w:t>
      </w:r>
      <w:r w:rsidR="00B40241">
        <w:rPr>
          <w:rFonts w:eastAsia="Calibri"/>
          <w:lang w:val="pl-PL"/>
        </w:rPr>
        <w:t xml:space="preserve"> Nieswoistość objawów </w:t>
      </w:r>
      <w:proofErr w:type="spellStart"/>
      <w:r w:rsidR="00B40241">
        <w:rPr>
          <w:rFonts w:eastAsia="Calibri"/>
          <w:lang w:val="pl-PL"/>
        </w:rPr>
        <w:t>PChN</w:t>
      </w:r>
      <w:proofErr w:type="spellEnd"/>
      <w:r w:rsidR="00B40241">
        <w:rPr>
          <w:rFonts w:eastAsia="Calibri"/>
          <w:lang w:val="pl-PL"/>
        </w:rPr>
        <w:t xml:space="preserve"> (bądź ich brak) oraz reaktywne podejście sprawiają, że lekarze POZ pełnią w praktyce marginalną rolę w tym zakresie</w:t>
      </w:r>
      <w:r w:rsidR="00D8019E">
        <w:rPr>
          <w:rFonts w:eastAsia="Calibri"/>
          <w:lang w:val="pl-PL"/>
        </w:rPr>
        <w:t xml:space="preserve">, mimo że badania diagnostyczne w zakresie wykrywania </w:t>
      </w:r>
      <w:proofErr w:type="spellStart"/>
      <w:r w:rsidR="00D8019E">
        <w:rPr>
          <w:rFonts w:eastAsia="Calibri"/>
          <w:lang w:val="pl-PL"/>
        </w:rPr>
        <w:t>PChN</w:t>
      </w:r>
      <w:proofErr w:type="spellEnd"/>
      <w:r w:rsidR="00D8019E">
        <w:rPr>
          <w:rFonts w:eastAsia="Calibri"/>
          <w:lang w:val="pl-PL"/>
        </w:rPr>
        <w:t xml:space="preserve"> są aktualnie dostępne zarówno w ramach świadczeń gwarantowanych w POZ, jak i AOS</w:t>
      </w:r>
      <w:r w:rsidR="00B40241">
        <w:rPr>
          <w:rFonts w:eastAsia="Calibri"/>
          <w:lang w:val="pl-PL"/>
        </w:rPr>
        <w:t>.</w:t>
      </w:r>
      <w:r w:rsidR="00D8019E">
        <w:rPr>
          <w:rFonts w:eastAsia="Calibri"/>
          <w:lang w:val="pl-PL"/>
        </w:rPr>
        <w:t xml:space="preserve"> Kolejnym problemem w podstawowej opiece zdrowotnej jest praktykowanie oceny funkcjonalności nerek przede wszystkim w oparciu o stężenie kreatyniny w surowicy krwi bez oszacowania wskaźnika </w:t>
      </w:r>
      <w:proofErr w:type="spellStart"/>
      <w:r w:rsidR="00D8019E">
        <w:rPr>
          <w:rFonts w:eastAsia="Calibri"/>
          <w:lang w:val="pl-PL"/>
        </w:rPr>
        <w:t>eGFR</w:t>
      </w:r>
      <w:proofErr w:type="spellEnd"/>
      <w:r w:rsidR="001558C9">
        <w:rPr>
          <w:rFonts w:eastAsia="Calibri"/>
          <w:lang w:val="pl-PL"/>
        </w:rPr>
        <w:t xml:space="preserve">, co nie jest odpowiednim badaniem w kierunku rozpoznania bądź wykluczenia </w:t>
      </w:r>
      <w:proofErr w:type="spellStart"/>
      <w:r w:rsidR="001558C9">
        <w:rPr>
          <w:rFonts w:eastAsia="Calibri"/>
          <w:lang w:val="pl-PL"/>
        </w:rPr>
        <w:t>PChN</w:t>
      </w:r>
      <w:proofErr w:type="spellEnd"/>
      <w:r w:rsidR="001558C9">
        <w:rPr>
          <w:rFonts w:eastAsia="Calibri"/>
          <w:lang w:val="pl-PL"/>
        </w:rPr>
        <w:t xml:space="preserve">. </w:t>
      </w:r>
      <w:r w:rsidR="00682EFD">
        <w:rPr>
          <w:rFonts w:eastAsia="Calibri"/>
          <w:lang w:val="pl-PL"/>
        </w:rPr>
        <w:t>Stworzenie funkcjonalnego</w:t>
      </w:r>
      <w:r>
        <w:rPr>
          <w:rFonts w:eastAsia="Calibri"/>
          <w:lang w:val="pl-PL"/>
        </w:rPr>
        <w:t xml:space="preserve"> modelu opieki nad pacjentem z</w:t>
      </w:r>
      <w:r w:rsidR="00AA3E65">
        <w:rPr>
          <w:rFonts w:eastAsia="Calibri"/>
          <w:lang w:val="pl-PL"/>
        </w:rPr>
        <w:t> </w:t>
      </w:r>
      <w:proofErr w:type="spellStart"/>
      <w:r>
        <w:rPr>
          <w:rFonts w:eastAsia="Calibri"/>
          <w:lang w:val="pl-PL"/>
        </w:rPr>
        <w:t>PChN</w:t>
      </w:r>
      <w:proofErr w:type="spellEnd"/>
      <w:r>
        <w:rPr>
          <w:rFonts w:eastAsia="Calibri"/>
          <w:lang w:val="pl-PL"/>
        </w:rPr>
        <w:t xml:space="preserve"> powinno zminimalizowa</w:t>
      </w:r>
      <w:r w:rsidR="00701DF9">
        <w:rPr>
          <w:rFonts w:eastAsia="Calibri"/>
          <w:lang w:val="pl-PL"/>
        </w:rPr>
        <w:t>ć</w:t>
      </w:r>
      <w:r>
        <w:rPr>
          <w:rFonts w:eastAsia="Calibri"/>
          <w:lang w:val="pl-PL"/>
        </w:rPr>
        <w:t xml:space="preserve"> </w:t>
      </w:r>
      <w:r w:rsidR="00701DF9">
        <w:rPr>
          <w:rFonts w:eastAsia="Calibri"/>
          <w:lang w:val="pl-PL"/>
        </w:rPr>
        <w:t>bazowanie</w:t>
      </w:r>
      <w:r>
        <w:rPr>
          <w:rFonts w:eastAsia="Calibri"/>
          <w:lang w:val="pl-PL"/>
        </w:rPr>
        <w:t xml:space="preserve"> na przypadku, </w:t>
      </w:r>
      <w:proofErr w:type="spellStart"/>
      <w:r>
        <w:rPr>
          <w:rFonts w:eastAsia="Calibri"/>
          <w:lang w:val="pl-PL"/>
        </w:rPr>
        <w:t>pozasystemowych</w:t>
      </w:r>
      <w:proofErr w:type="spellEnd"/>
      <w:r>
        <w:rPr>
          <w:rFonts w:eastAsia="Calibri"/>
          <w:lang w:val="pl-PL"/>
        </w:rPr>
        <w:t xml:space="preserve"> kompetencjach świadczeniodawców i </w:t>
      </w:r>
      <w:r w:rsidR="007500DD">
        <w:rPr>
          <w:rFonts w:eastAsia="Calibri"/>
          <w:lang w:val="pl-PL"/>
        </w:rPr>
        <w:t>poważnych objawach klinicznych</w:t>
      </w:r>
      <w:r w:rsidR="0067346B">
        <w:rPr>
          <w:rFonts w:eastAsia="Calibri"/>
          <w:lang w:val="pl-PL"/>
        </w:rPr>
        <w:t xml:space="preserve"> </w:t>
      </w:r>
      <w:r>
        <w:rPr>
          <w:rFonts w:eastAsia="Calibri"/>
          <w:lang w:val="pl-PL"/>
        </w:rPr>
        <w:t>na rzecz usystematyzowanego podejścia do wczesnego</w:t>
      </w:r>
      <w:r w:rsidR="00893E31">
        <w:rPr>
          <w:rFonts w:eastAsia="Calibri"/>
          <w:lang w:val="pl-PL"/>
        </w:rPr>
        <w:t xml:space="preserve"> wykrywania </w:t>
      </w:r>
      <w:proofErr w:type="spellStart"/>
      <w:r>
        <w:rPr>
          <w:rFonts w:eastAsia="Calibri"/>
          <w:lang w:val="pl-PL"/>
        </w:rPr>
        <w:t>PChN</w:t>
      </w:r>
      <w:proofErr w:type="spellEnd"/>
      <w:r w:rsidR="00AA3E65">
        <w:rPr>
          <w:rFonts w:eastAsia="Calibri"/>
          <w:lang w:val="pl-PL"/>
        </w:rPr>
        <w:t xml:space="preserve">, </w:t>
      </w:r>
      <w:r w:rsidR="00B40241">
        <w:rPr>
          <w:rFonts w:eastAsia="Calibri"/>
          <w:lang w:val="pl-PL"/>
        </w:rPr>
        <w:t>opartego przede wszystkim na kluczowej roli lekarza POZ</w:t>
      </w:r>
      <w:r w:rsidR="001558C9">
        <w:rPr>
          <w:rFonts w:eastAsia="Calibri"/>
          <w:lang w:val="pl-PL"/>
        </w:rPr>
        <w:t>,</w:t>
      </w:r>
      <w:r w:rsidR="00B40241">
        <w:rPr>
          <w:rFonts w:eastAsia="Calibri"/>
          <w:lang w:val="pl-PL"/>
        </w:rPr>
        <w:t xml:space="preserve"> </w:t>
      </w:r>
      <w:r w:rsidR="001558C9">
        <w:rPr>
          <w:rFonts w:eastAsia="Calibri"/>
          <w:lang w:val="pl-PL"/>
        </w:rPr>
        <w:t>realizującego</w:t>
      </w:r>
      <w:r w:rsidR="00D6652B">
        <w:rPr>
          <w:rFonts w:eastAsia="Calibri"/>
          <w:lang w:val="pl-PL"/>
        </w:rPr>
        <w:t xml:space="preserve"> m.in.</w:t>
      </w:r>
      <w:r w:rsidR="001558C9">
        <w:rPr>
          <w:rFonts w:eastAsia="Calibri"/>
          <w:lang w:val="pl-PL"/>
        </w:rPr>
        <w:t xml:space="preserve"> badania przesiewowe </w:t>
      </w:r>
      <w:r w:rsidR="00D6652B">
        <w:rPr>
          <w:rFonts w:eastAsia="Calibri"/>
          <w:lang w:val="pl-PL"/>
        </w:rPr>
        <w:t>i</w:t>
      </w:r>
      <w:r w:rsidR="00C67235">
        <w:rPr>
          <w:rFonts w:eastAsia="Calibri"/>
          <w:lang w:val="pl-PL"/>
        </w:rPr>
        <w:t> </w:t>
      </w:r>
      <w:r w:rsidR="00AA3E65">
        <w:rPr>
          <w:rFonts w:eastAsia="Calibri"/>
          <w:lang w:val="pl-PL"/>
        </w:rPr>
        <w:t xml:space="preserve">wspieranego </w:t>
      </w:r>
      <w:r w:rsidR="00B40241">
        <w:rPr>
          <w:rFonts w:eastAsia="Calibri"/>
          <w:lang w:val="pl-PL"/>
        </w:rPr>
        <w:t>przez</w:t>
      </w:r>
      <w:r w:rsidR="00AA3E65">
        <w:rPr>
          <w:rFonts w:eastAsia="Calibri"/>
          <w:lang w:val="pl-PL"/>
        </w:rPr>
        <w:t xml:space="preserve"> odpowiednich specjalistów</w:t>
      </w:r>
      <w:r w:rsidR="00893E31">
        <w:rPr>
          <w:rFonts w:eastAsia="Calibri"/>
          <w:lang w:val="pl-PL"/>
        </w:rPr>
        <w:t>.</w:t>
      </w:r>
      <w:r w:rsidR="0096723C">
        <w:rPr>
          <w:rFonts w:eastAsia="Calibri"/>
          <w:lang w:val="pl-PL"/>
        </w:rPr>
        <w:t xml:space="preserve"> </w:t>
      </w:r>
      <w:r w:rsidR="009F6DC8">
        <w:rPr>
          <w:rFonts w:eastAsia="Calibri"/>
          <w:lang w:val="pl-PL"/>
        </w:rPr>
        <w:t>Przykładem dobrej</w:t>
      </w:r>
      <w:r w:rsidR="00AA3E65">
        <w:rPr>
          <w:rFonts w:eastAsia="Calibri"/>
          <w:lang w:val="pl-PL"/>
        </w:rPr>
        <w:t xml:space="preserve"> praktyki w tym zakresie jest </w:t>
      </w:r>
      <w:r w:rsidR="00AA3E65" w:rsidRPr="00AA3E65">
        <w:rPr>
          <w:rFonts w:eastAsia="Calibri"/>
          <w:lang w:val="pl-PL"/>
        </w:rPr>
        <w:t xml:space="preserve">Program wczesnego wykrywania przewlekłej choroby nerek dla </w:t>
      </w:r>
      <w:r w:rsidR="00AA3E65" w:rsidRPr="00AA3E65">
        <w:rPr>
          <w:rFonts w:eastAsia="Calibri"/>
          <w:lang w:val="pl-PL"/>
        </w:rPr>
        <w:lastRenderedPageBreak/>
        <w:t>mieszkańców województwa łódzkiego 2017-2018</w:t>
      </w:r>
      <w:r w:rsidR="00AA3E65">
        <w:rPr>
          <w:rFonts w:eastAsia="Calibri"/>
          <w:lang w:val="pl-PL"/>
        </w:rPr>
        <w:t xml:space="preserve">. Program </w:t>
      </w:r>
      <w:r w:rsidR="00D8019E">
        <w:rPr>
          <w:rFonts w:eastAsia="Calibri"/>
          <w:lang w:val="pl-PL"/>
        </w:rPr>
        <w:t xml:space="preserve"> </w:t>
      </w:r>
      <w:r w:rsidR="00AA3E65">
        <w:rPr>
          <w:rFonts w:eastAsia="Calibri"/>
          <w:lang w:val="pl-PL"/>
        </w:rPr>
        <w:t xml:space="preserve">o zasięgu regionalnym (województwo łódzkie) </w:t>
      </w:r>
      <w:r w:rsidR="00770267">
        <w:rPr>
          <w:rFonts w:eastAsia="Calibri"/>
          <w:lang w:val="pl-PL"/>
        </w:rPr>
        <w:t>mógłby</w:t>
      </w:r>
      <w:r w:rsidR="00AA3E65">
        <w:rPr>
          <w:rFonts w:eastAsia="Calibri"/>
          <w:lang w:val="pl-PL"/>
        </w:rPr>
        <w:t xml:space="preserve"> posłużyć jako pilotaż i w przypadku pozytywnych ocen, zostać wdrożony na skalę krajową.</w:t>
      </w:r>
    </w:p>
    <w:p w14:paraId="011DEF19" w14:textId="7481DB38" w:rsidR="00040782" w:rsidRDefault="00040782" w:rsidP="00040782">
      <w:pPr>
        <w:rPr>
          <w:rFonts w:eastAsia="Calibri"/>
          <w:lang w:val="pl-PL"/>
        </w:rPr>
      </w:pPr>
      <w:r>
        <w:rPr>
          <w:rFonts w:eastAsia="Calibri"/>
          <w:lang w:val="pl-PL"/>
        </w:rPr>
        <w:t>Dla pacjentów</w:t>
      </w:r>
      <w:r w:rsidR="00726E00" w:rsidRPr="00B159FD">
        <w:rPr>
          <w:lang w:val="pl-PL"/>
        </w:rPr>
        <w:t xml:space="preserve"> </w:t>
      </w:r>
      <w:r w:rsidR="00726E00" w:rsidRPr="00726E00">
        <w:rPr>
          <w:rFonts w:eastAsia="Calibri"/>
          <w:lang w:val="pl-PL"/>
        </w:rPr>
        <w:t>z</w:t>
      </w:r>
      <w:r w:rsidR="00726E00">
        <w:rPr>
          <w:rFonts w:eastAsia="Calibri"/>
          <w:lang w:val="pl-PL"/>
        </w:rPr>
        <w:t xml:space="preserve"> </w:t>
      </w:r>
      <w:r>
        <w:rPr>
          <w:rFonts w:eastAsia="Calibri"/>
          <w:lang w:val="pl-PL"/>
        </w:rPr>
        <w:t xml:space="preserve">już rozpoznaną </w:t>
      </w:r>
      <w:proofErr w:type="spellStart"/>
      <w:r>
        <w:rPr>
          <w:rFonts w:eastAsia="Calibri"/>
          <w:lang w:val="pl-PL"/>
        </w:rPr>
        <w:t>PChN</w:t>
      </w:r>
      <w:proofErr w:type="spellEnd"/>
      <w:r>
        <w:rPr>
          <w:rFonts w:eastAsia="Calibri"/>
          <w:lang w:val="pl-PL"/>
        </w:rPr>
        <w:t xml:space="preserve"> ważne są świadczenia w zakresie </w:t>
      </w:r>
      <w:r w:rsidRPr="00092725">
        <w:rPr>
          <w:rFonts w:eastAsia="Calibri"/>
          <w:b/>
          <w:lang w:val="pl-PL"/>
        </w:rPr>
        <w:t xml:space="preserve">profilaktyki </w:t>
      </w:r>
      <w:r>
        <w:rPr>
          <w:rFonts w:eastAsia="Calibri"/>
          <w:b/>
          <w:lang w:val="pl-PL"/>
        </w:rPr>
        <w:t>trzeciorzędowej</w:t>
      </w:r>
      <w:r>
        <w:rPr>
          <w:rFonts w:eastAsia="Calibri"/>
          <w:lang w:val="pl-PL"/>
        </w:rPr>
        <w:t xml:space="preserve">, spowalniające progresję choroby oraz minimalizujące objawy kliniczne i powikłania. Profilaktyka trzeciorzędowa polega przede wszystkim na leczeniu zachowawczym. Świadczenia w tym zakresie są dostępne </w:t>
      </w:r>
      <w:r w:rsidRPr="008F6C77">
        <w:rPr>
          <w:rFonts w:eastAsia="Calibri"/>
          <w:lang w:val="pl-PL"/>
        </w:rPr>
        <w:t xml:space="preserve">w ramach świadczeń gwarantowanych </w:t>
      </w:r>
      <w:r>
        <w:rPr>
          <w:rFonts w:eastAsia="Calibri"/>
          <w:lang w:val="pl-PL"/>
        </w:rPr>
        <w:t xml:space="preserve">finansowanych ze środków publicznych. Pacjent z </w:t>
      </w:r>
      <w:proofErr w:type="spellStart"/>
      <w:r>
        <w:rPr>
          <w:rFonts w:eastAsia="Calibri"/>
          <w:lang w:val="pl-PL"/>
        </w:rPr>
        <w:t>PChN</w:t>
      </w:r>
      <w:proofErr w:type="spellEnd"/>
      <w:r>
        <w:rPr>
          <w:rFonts w:eastAsia="Calibri"/>
          <w:lang w:val="pl-PL"/>
        </w:rPr>
        <w:t xml:space="preserve"> podlega nie tylko op</w:t>
      </w:r>
      <w:r w:rsidR="00624091">
        <w:rPr>
          <w:rFonts w:eastAsia="Calibri"/>
          <w:lang w:val="pl-PL"/>
        </w:rPr>
        <w:t>iece nefrologa</w:t>
      </w:r>
      <w:r>
        <w:rPr>
          <w:rFonts w:eastAsia="Calibri"/>
          <w:lang w:val="pl-PL"/>
        </w:rPr>
        <w:t>, ale też równolegle innych specjalistów (kardiolog, diabetolog, transplantol</w:t>
      </w:r>
      <w:r w:rsidR="002B66D5">
        <w:rPr>
          <w:rFonts w:eastAsia="Calibri"/>
          <w:lang w:val="pl-PL"/>
        </w:rPr>
        <w:t>og) oraz lekarza POZ. Aktualnie</w:t>
      </w:r>
      <w:r w:rsidR="002B66D5" w:rsidRPr="002B66D5">
        <w:rPr>
          <w:rFonts w:eastAsia="Calibri"/>
          <w:lang w:val="pl-PL"/>
        </w:rPr>
        <w:t xml:space="preserve"> </w:t>
      </w:r>
      <w:r w:rsidR="002B66D5">
        <w:rPr>
          <w:rFonts w:eastAsia="Calibri"/>
          <w:lang w:val="pl-PL"/>
        </w:rPr>
        <w:t>w niektórych poradniach AOS</w:t>
      </w:r>
      <w:r>
        <w:rPr>
          <w:rFonts w:eastAsia="Calibri"/>
          <w:lang w:val="pl-PL"/>
        </w:rPr>
        <w:t xml:space="preserve"> </w:t>
      </w:r>
      <w:r w:rsidR="002B66D5">
        <w:rPr>
          <w:rFonts w:eastAsia="Calibri"/>
          <w:lang w:val="pl-PL"/>
        </w:rPr>
        <w:t>czas oczekiwania na wizytę u nefrologa wynosi</w:t>
      </w:r>
      <w:r>
        <w:rPr>
          <w:rFonts w:eastAsia="Calibri"/>
          <w:lang w:val="pl-PL"/>
        </w:rPr>
        <w:t xml:space="preserve"> ponad rok</w:t>
      </w:r>
      <w:r w:rsidRPr="00C06A65">
        <w:rPr>
          <w:rStyle w:val="Odwoanieprzypisudolnego"/>
          <w:rFonts w:eastAsia="Calibri"/>
          <w:sz w:val="22"/>
          <w:szCs w:val="22"/>
          <w:lang w:val="pl-PL"/>
        </w:rPr>
        <w:footnoteReference w:id="56"/>
      </w:r>
      <w:r>
        <w:rPr>
          <w:rFonts w:eastAsia="Calibri"/>
          <w:lang w:val="pl-PL"/>
        </w:rPr>
        <w:t xml:space="preserve">. Zdiagnozowany pacjent we wczesnych stadiach </w:t>
      </w:r>
      <w:proofErr w:type="spellStart"/>
      <w:r>
        <w:rPr>
          <w:rFonts w:eastAsia="Calibri"/>
          <w:lang w:val="pl-PL"/>
        </w:rPr>
        <w:t>PChN</w:t>
      </w:r>
      <w:proofErr w:type="spellEnd"/>
      <w:r>
        <w:rPr>
          <w:rFonts w:eastAsia="Calibri"/>
          <w:lang w:val="pl-PL"/>
        </w:rPr>
        <w:t xml:space="preserve"> o łagodnym przebiegu podlega przede wszystkim opiece ambulatoryjnej i jego związanie z systemem polega m.in.</w:t>
      </w:r>
      <w:r w:rsidR="0067346B">
        <w:rPr>
          <w:rFonts w:eastAsia="Calibri"/>
          <w:lang w:val="pl-PL"/>
        </w:rPr>
        <w:t xml:space="preserve"> </w:t>
      </w:r>
      <w:r>
        <w:rPr>
          <w:rFonts w:eastAsia="Calibri"/>
          <w:lang w:val="pl-PL"/>
        </w:rPr>
        <w:t xml:space="preserve">na wstępnym ustaleniu leczenia przez nefrologa, następnie na regularnych wizytach kontrolnych i monitorowaniu stanu zdrowia. </w:t>
      </w:r>
      <w:r w:rsidR="00862714">
        <w:rPr>
          <w:rFonts w:eastAsia="Calibri"/>
          <w:lang w:val="pl-PL"/>
        </w:rPr>
        <w:t>Istotną</w:t>
      </w:r>
      <w:r>
        <w:rPr>
          <w:rFonts w:eastAsia="Calibri"/>
          <w:lang w:val="pl-PL"/>
        </w:rPr>
        <w:t xml:space="preserve"> rolę w aktualnym modelu opieki odgrywa sam pacjent, który, nierzadko dotknięty innymi chorobami współistniejącymi (jak np. cukrzyca czy nadciśnienie tętnicze), jest odpowiedzialny za skuteczność swojego leczenia poprzez </w:t>
      </w:r>
      <w:r w:rsidR="00862714">
        <w:rPr>
          <w:rFonts w:eastAsia="Calibri"/>
          <w:lang w:val="pl-PL"/>
        </w:rPr>
        <w:t>zarządzanie i koordynowanie</w:t>
      </w:r>
      <w:r>
        <w:rPr>
          <w:rFonts w:eastAsia="Calibri"/>
          <w:lang w:val="pl-PL"/>
        </w:rPr>
        <w:t xml:space="preserve"> opieki udzielanej równolegle przez nefrologa, kardiologa i diabetologa. Pacjenci w zaawansowanych stadiach choroby, tj. podlegający leczeniu nerkozastępczemu (dializa lub przeszczepienie) przechodzą już pod stałą opiekę zespołów przy stacjach dializ bądź przy ośrodkach transplantacyjnych. Leczenie nerkozastępcze wymaga odpowiedniego przygotowania pacjenta, które składa się z następujących elementów:</w:t>
      </w:r>
    </w:p>
    <w:p w14:paraId="746A469B" w14:textId="77777777" w:rsidR="00040782" w:rsidRDefault="00040782" w:rsidP="00F84B72">
      <w:pPr>
        <w:pStyle w:val="EYBulletedList1"/>
        <w:numPr>
          <w:ilvl w:val="0"/>
          <w:numId w:val="11"/>
        </w:numPr>
        <w:ind w:left="289" w:hanging="289"/>
        <w:jc w:val="both"/>
        <w:rPr>
          <w:rFonts w:eastAsia="Calibri"/>
          <w:sz w:val="22"/>
          <w:lang w:val="pl-PL"/>
        </w:rPr>
      </w:pPr>
      <w:r>
        <w:rPr>
          <w:rFonts w:eastAsia="Calibri"/>
          <w:sz w:val="22"/>
          <w:lang w:val="pl-PL"/>
        </w:rPr>
        <w:t xml:space="preserve">edukacja pacjenta dotycząca opcji leczenia nerkozastępczego - </w:t>
      </w:r>
      <w:r w:rsidRPr="007E1282">
        <w:rPr>
          <w:rFonts w:eastAsia="Calibri"/>
          <w:sz w:val="22"/>
          <w:lang w:val="pl-PL"/>
        </w:rPr>
        <w:t xml:space="preserve">w Polsce </w:t>
      </w:r>
      <w:r>
        <w:rPr>
          <w:rFonts w:eastAsia="Calibri"/>
          <w:sz w:val="22"/>
          <w:lang w:val="pl-PL"/>
        </w:rPr>
        <w:t xml:space="preserve">transplantacje </w:t>
      </w:r>
      <w:r w:rsidRPr="007E1282">
        <w:rPr>
          <w:rFonts w:eastAsia="Calibri"/>
          <w:sz w:val="22"/>
          <w:lang w:val="pl-PL"/>
        </w:rPr>
        <w:t>wyprzedzając</w:t>
      </w:r>
      <w:r>
        <w:rPr>
          <w:rFonts w:eastAsia="Calibri"/>
          <w:sz w:val="22"/>
          <w:lang w:val="pl-PL"/>
        </w:rPr>
        <w:t xml:space="preserve">e występują </w:t>
      </w:r>
      <w:r w:rsidRPr="007E1282">
        <w:rPr>
          <w:rFonts w:eastAsia="Calibri"/>
          <w:sz w:val="22"/>
          <w:lang w:val="pl-PL"/>
        </w:rPr>
        <w:t>rzadk</w:t>
      </w:r>
      <w:r>
        <w:rPr>
          <w:rFonts w:eastAsia="Calibri"/>
          <w:sz w:val="22"/>
          <w:lang w:val="pl-PL"/>
        </w:rPr>
        <w:t xml:space="preserve">o </w:t>
      </w:r>
      <w:r w:rsidRPr="007E1282">
        <w:rPr>
          <w:rFonts w:eastAsia="Calibri"/>
          <w:sz w:val="22"/>
          <w:lang w:val="pl-PL"/>
        </w:rPr>
        <w:t xml:space="preserve">i są to głównie przeszczepienia od dawców spokrewnionych z chorym. </w:t>
      </w:r>
      <w:r>
        <w:rPr>
          <w:rFonts w:eastAsia="Calibri"/>
          <w:sz w:val="22"/>
          <w:lang w:val="pl-PL"/>
        </w:rPr>
        <w:t xml:space="preserve">W związku z tym, w rzeczywistości, po uwzględnieniu przeciwskazań oraz wad i zalet terapii, lekarz wraz z pacjentem wybierają odpowiednią technikę dializacyjną. Możliwość przeszczepienia pojawia się w praktyce dopiero </w:t>
      </w:r>
      <w:r w:rsidR="00862714">
        <w:rPr>
          <w:rFonts w:eastAsia="Calibri"/>
          <w:sz w:val="22"/>
          <w:lang w:val="pl-PL"/>
        </w:rPr>
        <w:t>później</w:t>
      </w:r>
      <w:r>
        <w:rPr>
          <w:rFonts w:eastAsia="Calibri"/>
          <w:sz w:val="22"/>
          <w:lang w:val="pl-PL"/>
        </w:rPr>
        <w:t xml:space="preserve"> w procesie leczenia, tj. w większości u pacjentów już dializowanych</w:t>
      </w:r>
    </w:p>
    <w:p w14:paraId="2C238ED0" w14:textId="77777777" w:rsidR="00040782" w:rsidRDefault="00040782" w:rsidP="00F84B72">
      <w:pPr>
        <w:pStyle w:val="EYBulletedList1"/>
        <w:numPr>
          <w:ilvl w:val="0"/>
          <w:numId w:val="11"/>
        </w:numPr>
        <w:ind w:left="289" w:hanging="289"/>
        <w:jc w:val="both"/>
        <w:rPr>
          <w:rFonts w:eastAsia="Calibri"/>
          <w:sz w:val="22"/>
          <w:lang w:val="pl-PL"/>
        </w:rPr>
      </w:pPr>
      <w:r>
        <w:rPr>
          <w:rFonts w:eastAsia="Calibri"/>
          <w:sz w:val="22"/>
          <w:lang w:val="pl-PL"/>
        </w:rPr>
        <w:t xml:space="preserve">wytworzenie dostępu </w:t>
      </w:r>
      <w:r w:rsidRPr="00487C5A">
        <w:rPr>
          <w:rFonts w:eastAsia="Calibri"/>
          <w:color w:val="000000" w:themeColor="text1"/>
          <w:sz w:val="22"/>
          <w:lang w:val="pl-PL"/>
        </w:rPr>
        <w:t xml:space="preserve">naczyniowego lub otrzewnowego – w Polsce świadczenia w zakresie wytwarzania dostępu są </w:t>
      </w:r>
      <w:r w:rsidR="00862714" w:rsidRPr="00487C5A">
        <w:rPr>
          <w:rFonts w:eastAsia="Calibri"/>
          <w:color w:val="000000" w:themeColor="text1"/>
          <w:sz w:val="22"/>
          <w:lang w:val="pl-PL"/>
        </w:rPr>
        <w:t>realizowane</w:t>
      </w:r>
      <w:r w:rsidRPr="00487C5A">
        <w:rPr>
          <w:rFonts w:eastAsia="Calibri"/>
          <w:color w:val="000000" w:themeColor="text1"/>
          <w:sz w:val="22"/>
          <w:lang w:val="pl-PL"/>
        </w:rPr>
        <w:t xml:space="preserve"> w szpitalach na oddziałach chirurgii naczyniowej lub chirurgii ogólnej</w:t>
      </w:r>
      <w:r w:rsidR="00083D14">
        <w:rPr>
          <w:rFonts w:eastAsia="Calibri"/>
          <w:color w:val="000000" w:themeColor="text1"/>
          <w:sz w:val="22"/>
          <w:lang w:val="pl-PL"/>
        </w:rPr>
        <w:t>, rzadko nefrologii</w:t>
      </w:r>
      <w:r w:rsidRPr="00487C5A">
        <w:rPr>
          <w:rFonts w:eastAsia="Calibri"/>
          <w:color w:val="000000" w:themeColor="text1"/>
          <w:sz w:val="22"/>
          <w:lang w:val="pl-PL"/>
        </w:rPr>
        <w:t>. Podmioty lecznic</w:t>
      </w:r>
      <w:r>
        <w:rPr>
          <w:rFonts w:eastAsia="Calibri"/>
          <w:sz w:val="22"/>
          <w:lang w:val="pl-PL"/>
        </w:rPr>
        <w:t>ze kontraktują te świadczenia z NFZ w ramach umów na świadczenia w rodzaju leczenie szpitalne udzielanych na oddziałach chirurgicznych, niezależnie od pozostałych świadc</w:t>
      </w:r>
      <w:r w:rsidR="00862714">
        <w:rPr>
          <w:rFonts w:eastAsia="Calibri"/>
          <w:sz w:val="22"/>
          <w:lang w:val="pl-PL"/>
        </w:rPr>
        <w:t xml:space="preserve">zeń związanych z dializowaniem </w:t>
      </w:r>
      <w:r>
        <w:rPr>
          <w:rFonts w:eastAsia="Calibri"/>
          <w:sz w:val="22"/>
          <w:lang w:val="pl-PL"/>
        </w:rPr>
        <w:t xml:space="preserve">i opieką nad pacjentami z </w:t>
      </w:r>
      <w:proofErr w:type="spellStart"/>
      <w:r>
        <w:rPr>
          <w:rFonts w:eastAsia="Calibri"/>
          <w:sz w:val="22"/>
          <w:lang w:val="pl-PL"/>
        </w:rPr>
        <w:t>PChN</w:t>
      </w:r>
      <w:proofErr w:type="spellEnd"/>
      <w:r>
        <w:rPr>
          <w:rFonts w:eastAsia="Calibri"/>
          <w:sz w:val="22"/>
          <w:lang w:val="pl-PL"/>
        </w:rPr>
        <w:t xml:space="preserve">. Kontraktowanie wytworzenia dostępu w ramach całej umowy na chirurgię w szpitalach może prowadzić do </w:t>
      </w:r>
      <w:r w:rsidR="00862714">
        <w:rPr>
          <w:rFonts w:eastAsia="Calibri"/>
          <w:sz w:val="22"/>
          <w:lang w:val="pl-PL"/>
        </w:rPr>
        <w:t>występowania pewnych</w:t>
      </w:r>
      <w:r>
        <w:rPr>
          <w:rFonts w:eastAsia="Calibri"/>
          <w:sz w:val="22"/>
          <w:lang w:val="pl-PL"/>
        </w:rPr>
        <w:t xml:space="preserve"> niekorzystnych zjawisk</w:t>
      </w:r>
      <w:r w:rsidRPr="00EF2754">
        <w:rPr>
          <w:rStyle w:val="Odwoanieprzypisudolnego"/>
          <w:rFonts w:eastAsia="Calibri"/>
          <w:sz w:val="22"/>
          <w:lang w:val="pl-PL"/>
        </w:rPr>
        <w:footnoteReference w:id="57"/>
      </w:r>
      <w:r>
        <w:rPr>
          <w:rFonts w:eastAsia="Calibri"/>
          <w:sz w:val="22"/>
          <w:lang w:val="pl-PL"/>
        </w:rPr>
        <w:t xml:space="preserve">. </w:t>
      </w:r>
      <w:r w:rsidR="00862714">
        <w:rPr>
          <w:rFonts w:eastAsia="Calibri"/>
          <w:sz w:val="22"/>
          <w:lang w:val="pl-PL"/>
        </w:rPr>
        <w:t>Lekarz zlecający wytworzenie dostępu nie ma gwarancji czasowego wykonania zabiegu</w:t>
      </w:r>
      <w:r>
        <w:rPr>
          <w:rFonts w:eastAsia="Calibri"/>
          <w:sz w:val="22"/>
          <w:lang w:val="pl-PL"/>
        </w:rPr>
        <w:t>, ponieważ na danym oddziale inne zabiegi chirurgiczne mogą być t</w:t>
      </w:r>
      <w:r w:rsidR="00862714">
        <w:rPr>
          <w:rFonts w:eastAsia="Calibri"/>
          <w:sz w:val="22"/>
          <w:lang w:val="pl-PL"/>
        </w:rPr>
        <w:t>raktowane bardziej priorytetowo</w:t>
      </w:r>
      <w:r>
        <w:rPr>
          <w:rFonts w:eastAsia="Calibri"/>
          <w:sz w:val="22"/>
          <w:lang w:val="pl-PL"/>
        </w:rPr>
        <w:t xml:space="preserve">. Powoduje to, że moment zlecenia wytworzenia dostępu, wytworzenie dostępu i moment rozpoczęcia dializy mogą być </w:t>
      </w:r>
      <w:r w:rsidR="00862714">
        <w:rPr>
          <w:rFonts w:eastAsia="Calibri"/>
          <w:sz w:val="22"/>
          <w:lang w:val="pl-PL"/>
        </w:rPr>
        <w:t xml:space="preserve">wydłużone w czasie </w:t>
      </w:r>
      <w:r>
        <w:rPr>
          <w:rFonts w:eastAsia="Calibri"/>
          <w:sz w:val="22"/>
          <w:lang w:val="pl-PL"/>
        </w:rPr>
        <w:t>i </w:t>
      </w:r>
      <w:r w:rsidR="00862714">
        <w:rPr>
          <w:rFonts w:eastAsia="Calibri"/>
          <w:sz w:val="22"/>
          <w:lang w:val="pl-PL"/>
        </w:rPr>
        <w:t>przynieść negatywne skutki zdrowotne dla chorego. Ponadto</w:t>
      </w:r>
      <w:r>
        <w:rPr>
          <w:rFonts w:eastAsia="Calibri"/>
          <w:sz w:val="22"/>
          <w:lang w:val="pl-PL"/>
        </w:rPr>
        <w:t xml:space="preserve">, rozdzielenie finansowania procedury na wytworzenie dostępu naczyniowego bądź otrzewnowego od innych świadczeń </w:t>
      </w:r>
      <w:r>
        <w:rPr>
          <w:rFonts w:eastAsia="Calibri"/>
          <w:sz w:val="22"/>
          <w:lang w:val="pl-PL"/>
        </w:rPr>
        <w:lastRenderedPageBreak/>
        <w:t xml:space="preserve">związanych z dializowaniem i opieką nad pacjentem z </w:t>
      </w:r>
      <w:proofErr w:type="spellStart"/>
      <w:r>
        <w:rPr>
          <w:rFonts w:eastAsia="Calibri"/>
          <w:sz w:val="22"/>
          <w:lang w:val="pl-PL"/>
        </w:rPr>
        <w:t>PChN</w:t>
      </w:r>
      <w:proofErr w:type="spellEnd"/>
      <w:r>
        <w:rPr>
          <w:rFonts w:eastAsia="Calibri"/>
          <w:sz w:val="22"/>
          <w:lang w:val="pl-PL"/>
        </w:rPr>
        <w:t xml:space="preserve"> prowadzi do jednoczesnego rozdzielenia odpowiedzialności za jakość tego dostępu. </w:t>
      </w:r>
      <w:r w:rsidR="00862714">
        <w:rPr>
          <w:rFonts w:eastAsia="Calibri"/>
          <w:sz w:val="22"/>
          <w:lang w:val="pl-PL"/>
        </w:rPr>
        <w:t>Może to wiązać</w:t>
      </w:r>
      <w:r>
        <w:rPr>
          <w:rFonts w:eastAsia="Calibri"/>
          <w:sz w:val="22"/>
          <w:lang w:val="pl-PL"/>
        </w:rPr>
        <w:t xml:space="preserve"> się </w:t>
      </w:r>
      <w:r w:rsidR="00862714">
        <w:rPr>
          <w:rFonts w:eastAsia="Calibri"/>
          <w:sz w:val="22"/>
          <w:lang w:val="pl-PL"/>
        </w:rPr>
        <w:t>ze zwiększonym odsetkiem powikłań, a w konsekwencji</w:t>
      </w:r>
      <w:r>
        <w:rPr>
          <w:rFonts w:eastAsia="Calibri"/>
          <w:sz w:val="22"/>
          <w:lang w:val="pl-PL"/>
        </w:rPr>
        <w:t xml:space="preserve"> ze zwiększonymi kosztami </w:t>
      </w:r>
      <w:r w:rsidR="00AB1BAE">
        <w:rPr>
          <w:rFonts w:eastAsia="Calibri"/>
          <w:sz w:val="22"/>
          <w:lang w:val="pl-PL"/>
        </w:rPr>
        <w:t>utrzymania</w:t>
      </w:r>
      <w:r>
        <w:rPr>
          <w:rFonts w:eastAsia="Calibri"/>
          <w:sz w:val="22"/>
          <w:lang w:val="pl-PL"/>
        </w:rPr>
        <w:t xml:space="preserve"> tych dostępów i leczenia powikłań.</w:t>
      </w:r>
      <w:r w:rsidR="00862714">
        <w:rPr>
          <w:rFonts w:eastAsia="Calibri"/>
          <w:sz w:val="22"/>
          <w:lang w:val="pl-PL"/>
        </w:rPr>
        <w:t xml:space="preserve"> </w:t>
      </w:r>
    </w:p>
    <w:p w14:paraId="6B2A9328" w14:textId="77777777" w:rsidR="00040782" w:rsidRPr="007E1282" w:rsidRDefault="00040782" w:rsidP="00F84B72">
      <w:pPr>
        <w:pStyle w:val="EYBulletedList1"/>
        <w:numPr>
          <w:ilvl w:val="0"/>
          <w:numId w:val="11"/>
        </w:numPr>
        <w:ind w:left="289" w:hanging="289"/>
        <w:jc w:val="both"/>
        <w:rPr>
          <w:rFonts w:eastAsia="Calibri"/>
          <w:sz w:val="22"/>
          <w:lang w:val="pl-PL"/>
        </w:rPr>
      </w:pPr>
      <w:r>
        <w:rPr>
          <w:rFonts w:eastAsia="Calibri"/>
          <w:sz w:val="22"/>
          <w:lang w:val="pl-PL"/>
        </w:rPr>
        <w:t xml:space="preserve">rozpoczęcie leczenia dializacyjnego – w Polsce leczenie dializacyjne jest dostępne w ramach świadczeń gwarantowanych ze środków publicznych </w:t>
      </w:r>
      <w:r w:rsidRPr="003B37A9">
        <w:rPr>
          <w:rFonts w:eastAsia="Calibri"/>
          <w:sz w:val="22"/>
          <w:lang w:val="pl-PL"/>
        </w:rPr>
        <w:t xml:space="preserve">w </w:t>
      </w:r>
      <w:r w:rsidR="003B37A9" w:rsidRPr="004E62AC">
        <w:rPr>
          <w:rFonts w:eastAsia="Calibri"/>
          <w:sz w:val="22"/>
          <w:lang w:val="pl-PL"/>
        </w:rPr>
        <w:t>284</w:t>
      </w:r>
      <w:r>
        <w:rPr>
          <w:rFonts w:eastAsia="Calibri"/>
          <w:sz w:val="22"/>
          <w:lang w:val="pl-PL"/>
        </w:rPr>
        <w:t xml:space="preserve"> ośrodkach dializacyjnych, z </w:t>
      </w:r>
      <w:r w:rsidRPr="003B37A9">
        <w:rPr>
          <w:rFonts w:eastAsia="Calibri"/>
          <w:sz w:val="22"/>
          <w:lang w:val="pl-PL"/>
        </w:rPr>
        <w:t xml:space="preserve">czego </w:t>
      </w:r>
      <w:r w:rsidR="003B37A9" w:rsidRPr="004E62AC">
        <w:rPr>
          <w:rFonts w:eastAsia="Calibri"/>
          <w:sz w:val="22"/>
          <w:lang w:val="pl-PL"/>
        </w:rPr>
        <w:t>36</w:t>
      </w:r>
      <w:r w:rsidRPr="004E62AC">
        <w:rPr>
          <w:rFonts w:eastAsia="Calibri"/>
          <w:sz w:val="22"/>
          <w:lang w:val="pl-PL"/>
        </w:rPr>
        <w:t>%</w:t>
      </w:r>
      <w:r w:rsidRPr="003B37A9">
        <w:rPr>
          <w:rFonts w:eastAsia="Calibri"/>
          <w:sz w:val="22"/>
          <w:lang w:val="pl-PL"/>
        </w:rPr>
        <w:t xml:space="preserve"> to</w:t>
      </w:r>
      <w:r>
        <w:rPr>
          <w:rFonts w:eastAsia="Calibri"/>
          <w:sz w:val="22"/>
          <w:lang w:val="pl-PL"/>
        </w:rPr>
        <w:t xml:space="preserve"> publiczne stacje dializ, a </w:t>
      </w:r>
      <w:r w:rsidR="003B37A9" w:rsidRPr="004E62AC">
        <w:rPr>
          <w:rFonts w:eastAsia="Calibri"/>
          <w:sz w:val="22"/>
          <w:lang w:val="pl-PL"/>
        </w:rPr>
        <w:t>64</w:t>
      </w:r>
      <w:r w:rsidRPr="004E62AC">
        <w:rPr>
          <w:rFonts w:eastAsia="Calibri"/>
          <w:sz w:val="22"/>
          <w:lang w:val="pl-PL"/>
        </w:rPr>
        <w:t>%</w:t>
      </w:r>
      <w:r>
        <w:rPr>
          <w:rFonts w:eastAsia="Calibri"/>
          <w:sz w:val="22"/>
          <w:lang w:val="pl-PL"/>
        </w:rPr>
        <w:t xml:space="preserve"> stanowią ośrodki prywatne</w:t>
      </w:r>
      <w:r w:rsidR="003B37A9" w:rsidRPr="00AE7042">
        <w:rPr>
          <w:rStyle w:val="Odwoanieprzypisudolnego"/>
          <w:rFonts w:eastAsia="Calibri"/>
          <w:sz w:val="22"/>
          <w:lang w:val="pl-PL"/>
        </w:rPr>
        <w:footnoteReference w:id="58"/>
      </w:r>
    </w:p>
    <w:p w14:paraId="5B5C5E50" w14:textId="34C3F9EA" w:rsidR="00040782" w:rsidRDefault="00040782" w:rsidP="00040782">
      <w:pPr>
        <w:rPr>
          <w:rFonts w:eastAsia="Calibri"/>
          <w:lang w:val="pl-PL"/>
        </w:rPr>
      </w:pPr>
      <w:r>
        <w:rPr>
          <w:rFonts w:eastAsia="Calibri"/>
          <w:lang w:val="pl-PL"/>
        </w:rPr>
        <w:t xml:space="preserve">W Polsce </w:t>
      </w:r>
      <w:r w:rsidR="00704FC2">
        <w:rPr>
          <w:rFonts w:eastAsia="Calibri"/>
          <w:lang w:val="pl-PL"/>
        </w:rPr>
        <w:t xml:space="preserve">w 2015 r. pacjenci hemodializowani i dializowani otrzewnowo stanowili kolejno </w:t>
      </w:r>
      <w:r w:rsidR="00B2298C">
        <w:rPr>
          <w:rFonts w:eastAsia="Calibri"/>
          <w:lang w:val="pl-PL"/>
        </w:rPr>
        <w:t>9</w:t>
      </w:r>
      <w:r w:rsidR="005541E4">
        <w:rPr>
          <w:rFonts w:eastAsia="Calibri"/>
          <w:lang w:val="pl-PL"/>
        </w:rPr>
        <w:t>5,3</w:t>
      </w:r>
      <w:r>
        <w:rPr>
          <w:rFonts w:eastAsia="Calibri"/>
          <w:lang w:val="pl-PL"/>
        </w:rPr>
        <w:t>%</w:t>
      </w:r>
      <w:r w:rsidR="00704FC2">
        <w:rPr>
          <w:rFonts w:eastAsia="Calibri"/>
          <w:lang w:val="pl-PL"/>
        </w:rPr>
        <w:t xml:space="preserve"> i </w:t>
      </w:r>
      <w:r w:rsidR="005541E4">
        <w:rPr>
          <w:rFonts w:eastAsia="Calibri"/>
          <w:lang w:val="pl-PL"/>
        </w:rPr>
        <w:t>4,7</w:t>
      </w:r>
      <w:r w:rsidR="00B2298C">
        <w:rPr>
          <w:rFonts w:eastAsia="Calibri"/>
          <w:lang w:val="pl-PL"/>
        </w:rPr>
        <w:t>%</w:t>
      </w:r>
      <w:r w:rsidR="00704FC2">
        <w:rPr>
          <w:rFonts w:eastAsia="Calibri"/>
          <w:lang w:val="pl-PL"/>
        </w:rPr>
        <w:t xml:space="preserve"> wszystkich pacjentów dializowanych. Ze wszystkich dializowanych przeszczepiono ok. 5%</w:t>
      </w:r>
      <w:r w:rsidR="00B2298C" w:rsidRPr="00704FC2">
        <w:rPr>
          <w:rStyle w:val="Odwoanieprzypisudolnego"/>
          <w:rFonts w:eastAsia="Calibri"/>
          <w:sz w:val="22"/>
          <w:lang w:val="pl-PL"/>
        </w:rPr>
        <w:footnoteReference w:id="59"/>
      </w:r>
      <w:r>
        <w:rPr>
          <w:rFonts w:eastAsia="Calibri"/>
          <w:lang w:val="pl-PL"/>
        </w:rPr>
        <w:t xml:space="preserve">. </w:t>
      </w:r>
      <w:r w:rsidR="00726E00">
        <w:rPr>
          <w:rFonts w:eastAsia="Calibri"/>
          <w:lang w:val="pl-PL"/>
        </w:rPr>
        <w:t xml:space="preserve">Liczba wykonanych zabiegów przeszczepienia nerki z jednej strony limitowana jest liczbą chorych aktywnie oczekujących na przeszczep, z drugiej strony liczbą narządów pozyskiwanych do przeszczepu (liczbą dawców). </w:t>
      </w:r>
      <w:r>
        <w:rPr>
          <w:rFonts w:eastAsia="Calibri"/>
          <w:lang w:val="pl-PL"/>
        </w:rPr>
        <w:t xml:space="preserve">Pacjenci dializowani, podobnie jak pacjenci we wcześniejszych stadiach </w:t>
      </w:r>
      <w:proofErr w:type="spellStart"/>
      <w:r>
        <w:rPr>
          <w:rFonts w:eastAsia="Calibri"/>
          <w:lang w:val="pl-PL"/>
        </w:rPr>
        <w:t>PChN</w:t>
      </w:r>
      <w:proofErr w:type="spellEnd"/>
      <w:r>
        <w:rPr>
          <w:rFonts w:eastAsia="Calibri"/>
          <w:lang w:val="pl-PL"/>
        </w:rPr>
        <w:t xml:space="preserve">, pełnią rolę koordynatora własnego leczenia. W przypadku dializoterapii sytuacja jest bardziej skomplikowana, ponieważ dializowani pacjenci są w gorszej kondycji zdrowotnej niż pacjenci we wczesnych stadiach choroby (z powodu objawów dotyczących </w:t>
      </w:r>
      <w:proofErr w:type="spellStart"/>
      <w:r>
        <w:rPr>
          <w:rFonts w:eastAsia="Calibri"/>
          <w:lang w:val="pl-PL"/>
        </w:rPr>
        <w:t>PChN</w:t>
      </w:r>
      <w:proofErr w:type="spellEnd"/>
      <w:r>
        <w:rPr>
          <w:rFonts w:eastAsia="Calibri"/>
          <w:lang w:val="pl-PL"/>
        </w:rPr>
        <w:t xml:space="preserve"> i chorób współistniejących) oraz wymagają </w:t>
      </w:r>
      <w:r w:rsidR="00624091">
        <w:rPr>
          <w:rFonts w:eastAsia="Calibri"/>
          <w:lang w:val="pl-PL"/>
        </w:rPr>
        <w:t>bardziej intensywnej</w:t>
      </w:r>
      <w:r>
        <w:rPr>
          <w:rFonts w:eastAsia="Calibri"/>
          <w:lang w:val="pl-PL"/>
        </w:rPr>
        <w:t xml:space="preserve"> opieki – wielospecjalistycznej i kompleksowej. Z uwagi na fakt, że pacjenci hemodializowani przebywają na stacji dializ przeciętnie trzy razy w tygodniu, zespoły lekarzy i pielęgniarek na stacjach dializ mają dostęp do</w:t>
      </w:r>
      <w:r w:rsidR="00AF67BB">
        <w:rPr>
          <w:rFonts w:eastAsia="Calibri"/>
          <w:lang w:val="pl-PL"/>
        </w:rPr>
        <w:t xml:space="preserve"> </w:t>
      </w:r>
      <w:r>
        <w:rPr>
          <w:rFonts w:eastAsia="Calibri"/>
          <w:lang w:val="pl-PL"/>
        </w:rPr>
        <w:t xml:space="preserve"> informacji na temat zdrowia pacjenta, monitorują jego stan i w </w:t>
      </w:r>
      <w:r w:rsidR="00F53DF6">
        <w:rPr>
          <w:rFonts w:eastAsia="Calibri"/>
          <w:lang w:val="pl-PL"/>
        </w:rPr>
        <w:t xml:space="preserve">praktyce świadczą szerszą opiekę w </w:t>
      </w:r>
      <w:r>
        <w:rPr>
          <w:rFonts w:eastAsia="Calibri"/>
          <w:lang w:val="pl-PL"/>
        </w:rPr>
        <w:t xml:space="preserve">pewnych zakresach </w:t>
      </w:r>
      <w:r w:rsidR="00F53DF6">
        <w:rPr>
          <w:rFonts w:eastAsia="Calibri"/>
          <w:lang w:val="pl-PL"/>
        </w:rPr>
        <w:t>niż wynikałoby to z przypisanych im zadań</w:t>
      </w:r>
      <w:r>
        <w:rPr>
          <w:rFonts w:eastAsia="Calibri"/>
          <w:lang w:val="pl-PL"/>
        </w:rPr>
        <w:t xml:space="preserve">. Przykładowo – lekarz przy stacji dializ </w:t>
      </w:r>
      <w:r w:rsidR="00083D14">
        <w:rPr>
          <w:rFonts w:eastAsia="Calibri"/>
          <w:lang w:val="pl-PL"/>
        </w:rPr>
        <w:t xml:space="preserve">zleci </w:t>
      </w:r>
      <w:r>
        <w:rPr>
          <w:rFonts w:eastAsia="Calibri"/>
          <w:lang w:val="pl-PL"/>
        </w:rPr>
        <w:t>pacjentowi leki na przeziębienie czy na podstawie niepokojących objawów zasygnalizuje potrzebę korekty leczenia kardiologicznego.</w:t>
      </w:r>
    </w:p>
    <w:p w14:paraId="019B1BC7" w14:textId="77777777" w:rsidR="00040782" w:rsidRDefault="00040782" w:rsidP="00040782">
      <w:pPr>
        <w:rPr>
          <w:rFonts w:eastAsia="Calibri"/>
          <w:lang w:val="pl-PL"/>
        </w:rPr>
      </w:pPr>
      <w:r>
        <w:rPr>
          <w:rFonts w:eastAsia="Calibri"/>
          <w:lang w:val="pl-PL"/>
        </w:rPr>
        <w:t xml:space="preserve">Oprócz leczenia dializacyjnego, pacjenci w stacjach dializ są również leczeni w zakresie regulacji gospodarki wapniowo-fosforanowej w </w:t>
      </w:r>
      <w:r w:rsidR="00F53DF6">
        <w:rPr>
          <w:rFonts w:eastAsia="Calibri"/>
          <w:lang w:val="pl-PL"/>
        </w:rPr>
        <w:t xml:space="preserve">ramach </w:t>
      </w:r>
      <w:r>
        <w:rPr>
          <w:rFonts w:eastAsia="Calibri"/>
          <w:lang w:val="pl-PL"/>
        </w:rPr>
        <w:t>p</w:t>
      </w:r>
      <w:r w:rsidR="00624091">
        <w:rPr>
          <w:rFonts w:eastAsia="Calibri"/>
          <w:lang w:val="pl-PL"/>
        </w:rPr>
        <w:t>rogramów</w:t>
      </w:r>
      <w:r w:rsidR="0010080E">
        <w:rPr>
          <w:rFonts w:eastAsia="Calibri"/>
          <w:lang w:val="pl-PL"/>
        </w:rPr>
        <w:t xml:space="preserve"> </w:t>
      </w:r>
      <w:r>
        <w:rPr>
          <w:rFonts w:eastAsia="Calibri"/>
          <w:lang w:val="pl-PL"/>
        </w:rPr>
        <w:t>lekow</w:t>
      </w:r>
      <w:r w:rsidR="00624091">
        <w:rPr>
          <w:rFonts w:eastAsia="Calibri"/>
          <w:lang w:val="pl-PL"/>
        </w:rPr>
        <w:t>ych</w:t>
      </w:r>
      <w:r>
        <w:rPr>
          <w:rFonts w:eastAsia="Calibri"/>
          <w:lang w:val="pl-PL"/>
        </w:rPr>
        <w:t>: „</w:t>
      </w:r>
      <w:r w:rsidRPr="00444936">
        <w:rPr>
          <w:rFonts w:eastAsia="Calibri"/>
          <w:lang w:val="pl-PL"/>
        </w:rPr>
        <w:t>Leczenie wtórnej nadczynności przytarczyc u pacjentów hemodializowanych</w:t>
      </w:r>
      <w:r>
        <w:rPr>
          <w:rFonts w:eastAsia="Calibri"/>
          <w:lang w:val="pl-PL"/>
        </w:rPr>
        <w:t>”</w:t>
      </w:r>
      <w:r w:rsidR="00624091">
        <w:rPr>
          <w:rFonts w:eastAsia="Calibri"/>
          <w:lang w:val="pl-PL"/>
        </w:rPr>
        <w:t xml:space="preserve"> oraz „Leczenie </w:t>
      </w:r>
      <w:proofErr w:type="spellStart"/>
      <w:r w:rsidR="00624091">
        <w:rPr>
          <w:rFonts w:eastAsia="Calibri"/>
          <w:lang w:val="pl-PL"/>
        </w:rPr>
        <w:t>parykalcytolem</w:t>
      </w:r>
      <w:proofErr w:type="spellEnd"/>
      <w:r w:rsidR="00624091">
        <w:rPr>
          <w:rFonts w:eastAsia="Calibri"/>
          <w:lang w:val="pl-PL"/>
        </w:rPr>
        <w:t xml:space="preserve"> wtórej nadczynności przytarczyc u pacjentów hemodializowanych”</w:t>
      </w:r>
      <w:r>
        <w:rPr>
          <w:rFonts w:eastAsia="Calibri"/>
          <w:lang w:val="pl-PL"/>
        </w:rPr>
        <w:t xml:space="preserve">. </w:t>
      </w:r>
      <w:r w:rsidR="0010080E">
        <w:rPr>
          <w:rFonts w:eastAsia="Calibri"/>
          <w:lang w:val="pl-PL"/>
        </w:rPr>
        <w:t>Z kolei pacjenci przed dializą są leczeni z powodu niedokrwistości w ramach programu lekowego „</w:t>
      </w:r>
      <w:r w:rsidR="0010080E" w:rsidRPr="004E5652">
        <w:rPr>
          <w:rFonts w:eastAsia="Calibri"/>
          <w:lang w:val="pl-PL"/>
        </w:rPr>
        <w:t xml:space="preserve">Leczenie </w:t>
      </w:r>
      <w:r w:rsidR="0010080E">
        <w:rPr>
          <w:rFonts w:eastAsia="Calibri"/>
          <w:lang w:val="pl-PL"/>
        </w:rPr>
        <w:t>niedokrwistości w przebiegu przewlekłej choroby nerek</w:t>
      </w:r>
      <w:r w:rsidR="0010080E" w:rsidRPr="004E5652">
        <w:rPr>
          <w:rFonts w:eastAsia="Calibri"/>
          <w:lang w:val="pl-PL"/>
        </w:rPr>
        <w:t>”</w:t>
      </w:r>
      <w:r w:rsidR="0010080E">
        <w:rPr>
          <w:rFonts w:eastAsia="Calibri"/>
          <w:lang w:val="pl-PL"/>
        </w:rPr>
        <w:t xml:space="preserve">. </w:t>
      </w:r>
      <w:r>
        <w:rPr>
          <w:rFonts w:eastAsia="Calibri"/>
          <w:lang w:val="pl-PL"/>
        </w:rPr>
        <w:t xml:space="preserve">Leczenie w ramach wyżej </w:t>
      </w:r>
      <w:r w:rsidR="0053531D">
        <w:rPr>
          <w:rFonts w:eastAsia="Calibri"/>
          <w:lang w:val="pl-PL"/>
        </w:rPr>
        <w:t xml:space="preserve">wspomnianych </w:t>
      </w:r>
      <w:r w:rsidR="0010080E">
        <w:rPr>
          <w:rFonts w:eastAsia="Calibri"/>
          <w:lang w:val="pl-PL"/>
        </w:rPr>
        <w:t>programów</w:t>
      </w:r>
      <w:r>
        <w:rPr>
          <w:rFonts w:eastAsia="Calibri"/>
          <w:lang w:val="pl-PL"/>
        </w:rPr>
        <w:t xml:space="preserve"> lekowych wiąże się z występowaniem kryteriów kwalifikacji, włączenia i wyłączenia, co z kolei powoduje, ż</w:t>
      </w:r>
      <w:r w:rsidR="0010080E">
        <w:rPr>
          <w:rFonts w:eastAsia="Calibri"/>
          <w:lang w:val="pl-PL"/>
        </w:rPr>
        <w:t>e nie wszyscy chorzy</w:t>
      </w:r>
      <w:r w:rsidR="0053531D">
        <w:rPr>
          <w:rFonts w:eastAsia="Calibri"/>
          <w:lang w:val="pl-PL"/>
        </w:rPr>
        <w:t>,</w:t>
      </w:r>
      <w:r>
        <w:rPr>
          <w:rFonts w:eastAsia="Calibri"/>
          <w:lang w:val="pl-PL"/>
        </w:rPr>
        <w:t xml:space="preserve"> wymagający leczenia w tych zakr</w:t>
      </w:r>
      <w:r w:rsidR="0010080E">
        <w:rPr>
          <w:rFonts w:eastAsia="Calibri"/>
          <w:lang w:val="pl-PL"/>
        </w:rPr>
        <w:t>esach</w:t>
      </w:r>
      <w:r w:rsidR="0053531D">
        <w:rPr>
          <w:rFonts w:eastAsia="Calibri"/>
          <w:lang w:val="pl-PL"/>
        </w:rPr>
        <w:t>,</w:t>
      </w:r>
      <w:r w:rsidR="0010080E">
        <w:rPr>
          <w:rFonts w:eastAsia="Calibri"/>
          <w:lang w:val="pl-PL"/>
        </w:rPr>
        <w:t xml:space="preserve"> są objęci tymi programami</w:t>
      </w:r>
      <w:r w:rsidR="00C770DB">
        <w:rPr>
          <w:rFonts w:eastAsia="Calibri"/>
          <w:lang w:val="pl-PL"/>
        </w:rPr>
        <w:t>.</w:t>
      </w:r>
    </w:p>
    <w:p w14:paraId="3685464F" w14:textId="2941033E" w:rsidR="00040782" w:rsidRDefault="00040782" w:rsidP="00040782">
      <w:pPr>
        <w:rPr>
          <w:rFonts w:eastAsia="Calibri"/>
          <w:lang w:val="pl-PL"/>
        </w:rPr>
      </w:pPr>
      <w:r>
        <w:rPr>
          <w:rFonts w:eastAsia="Calibri"/>
          <w:lang w:val="pl-PL"/>
        </w:rPr>
        <w:t>Porady w zakresie edukacji, opieki dietetycznej</w:t>
      </w:r>
      <w:r w:rsidR="0011331F">
        <w:rPr>
          <w:rFonts w:eastAsia="Calibri"/>
          <w:lang w:val="pl-PL"/>
        </w:rPr>
        <w:t>, fizjoter</w:t>
      </w:r>
      <w:r w:rsidR="006F520B">
        <w:rPr>
          <w:rFonts w:eastAsia="Calibri"/>
          <w:lang w:val="pl-PL"/>
        </w:rPr>
        <w:t>a</w:t>
      </w:r>
      <w:r w:rsidR="0011331F">
        <w:rPr>
          <w:rFonts w:eastAsia="Calibri"/>
          <w:lang w:val="pl-PL"/>
        </w:rPr>
        <w:t>peutycznej</w:t>
      </w:r>
      <w:r>
        <w:rPr>
          <w:rFonts w:eastAsia="Calibri"/>
          <w:lang w:val="pl-PL"/>
        </w:rPr>
        <w:t xml:space="preserve"> i psychospołecznej nie są aktualnie udzielane w ramach świadczeń gwarantowanych ze środków publicznych w stacjach dializ, przy czym świadomość choroby, ścisłe zalecenia dietetyczne i utrzymanie odpowiedniej kondycji psychicznej</w:t>
      </w:r>
      <w:r w:rsidR="0011331F">
        <w:rPr>
          <w:rFonts w:eastAsia="Calibri"/>
          <w:lang w:val="pl-PL"/>
        </w:rPr>
        <w:t xml:space="preserve"> i fizycznej</w:t>
      </w:r>
      <w:r>
        <w:rPr>
          <w:rFonts w:eastAsia="Calibri"/>
          <w:lang w:val="pl-PL"/>
        </w:rPr>
        <w:t xml:space="preserve"> chorego są istotne dla utrzymania dobrego stanu zdrowia pacjenta z </w:t>
      </w:r>
      <w:proofErr w:type="spellStart"/>
      <w:r>
        <w:rPr>
          <w:rFonts w:eastAsia="Calibri"/>
          <w:lang w:val="pl-PL"/>
        </w:rPr>
        <w:t>PChN</w:t>
      </w:r>
      <w:proofErr w:type="spellEnd"/>
      <w:r>
        <w:rPr>
          <w:rFonts w:eastAsia="Calibri"/>
          <w:lang w:val="pl-PL"/>
        </w:rPr>
        <w:t>.</w:t>
      </w:r>
    </w:p>
    <w:p w14:paraId="31E71433" w14:textId="54DD40D5" w:rsidR="00816E3D" w:rsidRPr="004E62AC" w:rsidRDefault="00816E3D" w:rsidP="004E62AC">
      <w:pPr>
        <w:pStyle w:val="Legenda"/>
        <w:keepNext/>
        <w:rPr>
          <w:lang w:val="pl-PL"/>
        </w:rPr>
      </w:pPr>
      <w:bookmarkStart w:id="82" w:name="_Toc486537960"/>
      <w:r w:rsidRPr="004E62AC">
        <w:rPr>
          <w:b/>
          <w:i w:val="0"/>
          <w:color w:val="auto"/>
          <w:lang w:val="pl-PL"/>
        </w:rPr>
        <w:lastRenderedPageBreak/>
        <w:t xml:space="preserve">Rysunek </w:t>
      </w:r>
      <w:r w:rsidRPr="004E62AC">
        <w:rPr>
          <w:b/>
          <w:i w:val="0"/>
          <w:color w:val="auto"/>
          <w:lang w:val="pl-PL"/>
        </w:rPr>
        <w:fldChar w:fldCharType="begin"/>
      </w:r>
      <w:r w:rsidRPr="004E62AC">
        <w:rPr>
          <w:b/>
          <w:i w:val="0"/>
          <w:color w:val="auto"/>
          <w:lang w:val="pl-PL"/>
        </w:rPr>
        <w:instrText xml:space="preserve"> SEQ Rysunek \* ARABIC </w:instrText>
      </w:r>
      <w:r w:rsidRPr="004E62AC">
        <w:rPr>
          <w:b/>
          <w:i w:val="0"/>
          <w:color w:val="auto"/>
          <w:lang w:val="pl-PL"/>
        </w:rPr>
        <w:fldChar w:fldCharType="separate"/>
      </w:r>
      <w:r w:rsidR="005C7285">
        <w:rPr>
          <w:b/>
          <w:i w:val="0"/>
          <w:noProof/>
          <w:color w:val="auto"/>
          <w:lang w:val="pl-PL"/>
        </w:rPr>
        <w:t>4</w:t>
      </w:r>
      <w:r w:rsidRPr="004E62AC">
        <w:rPr>
          <w:b/>
          <w:i w:val="0"/>
          <w:color w:val="auto"/>
          <w:lang w:val="pl-PL"/>
        </w:rPr>
        <w:fldChar w:fldCharType="end"/>
      </w:r>
      <w:r w:rsidRPr="004E62AC">
        <w:rPr>
          <w:b/>
          <w:i w:val="0"/>
          <w:color w:val="auto"/>
          <w:lang w:val="pl-PL"/>
        </w:rPr>
        <w:t xml:space="preserve"> </w:t>
      </w:r>
      <w:r>
        <w:rPr>
          <w:b/>
          <w:i w:val="0"/>
          <w:color w:val="auto"/>
          <w:lang w:val="pl-PL"/>
        </w:rPr>
        <w:t xml:space="preserve">Schemat aktualnego modelu opieki nad pacjentem z </w:t>
      </w:r>
      <w:proofErr w:type="spellStart"/>
      <w:r>
        <w:rPr>
          <w:b/>
          <w:i w:val="0"/>
          <w:color w:val="auto"/>
          <w:lang w:val="pl-PL"/>
        </w:rPr>
        <w:t>PChN</w:t>
      </w:r>
      <w:proofErr w:type="spellEnd"/>
      <w:r>
        <w:rPr>
          <w:b/>
          <w:i w:val="0"/>
          <w:color w:val="auto"/>
          <w:lang w:val="pl-PL"/>
        </w:rPr>
        <w:t xml:space="preserve"> – rozproszenie i defragmentacja świadczeń</w:t>
      </w:r>
      <w:bookmarkEnd w:id="82"/>
    </w:p>
    <w:p w14:paraId="08FEC31F" w14:textId="470D0538" w:rsidR="00816E3D" w:rsidRDefault="008F20B1" w:rsidP="00040782">
      <w:pPr>
        <w:rPr>
          <w:rFonts w:eastAsia="Calibri"/>
          <w:lang w:val="pl-PL"/>
        </w:rPr>
      </w:pPr>
      <w:r>
        <w:rPr>
          <w:rFonts w:eastAsia="Calibri"/>
          <w:noProof/>
          <w:lang w:val="pl-PL" w:eastAsia="pl-PL"/>
        </w:rPr>
        <w:drawing>
          <wp:inline distT="0" distB="0" distL="0" distR="0" wp14:anchorId="2C3DED56" wp14:editId="5AA2A603">
            <wp:extent cx="5162400" cy="3859200"/>
            <wp:effectExtent l="0" t="0" r="635" b="825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400" cy="3859200"/>
                    </a:xfrm>
                    <a:prstGeom prst="rect">
                      <a:avLst/>
                    </a:prstGeom>
                    <a:noFill/>
                  </pic:spPr>
                </pic:pic>
              </a:graphicData>
            </a:graphic>
          </wp:inline>
        </w:drawing>
      </w:r>
    </w:p>
    <w:p w14:paraId="30902087" w14:textId="77777777" w:rsidR="005C1AA2" w:rsidRPr="00725B58" w:rsidRDefault="005C1AA2" w:rsidP="005C1AA2">
      <w:pPr>
        <w:spacing w:before="0" w:after="0" w:line="240" w:lineRule="auto"/>
        <w:rPr>
          <w:rFonts w:eastAsia="Calibri"/>
          <w:sz w:val="18"/>
          <w:lang w:val="pl-PL"/>
        </w:rPr>
      </w:pPr>
      <w:r w:rsidRPr="007F20C3">
        <w:rPr>
          <w:rFonts w:eastAsia="Calibri"/>
          <w:sz w:val="18"/>
          <w:lang w:val="pl-PL"/>
        </w:rPr>
        <w:t>Źródło: Opracowanie własne EY</w:t>
      </w:r>
    </w:p>
    <w:p w14:paraId="243CB196" w14:textId="77777777" w:rsidR="005C1AA2" w:rsidRDefault="005C1AA2" w:rsidP="00040782">
      <w:pPr>
        <w:rPr>
          <w:rFonts w:eastAsia="Calibri"/>
          <w:lang w:val="pl-PL"/>
        </w:rPr>
      </w:pPr>
    </w:p>
    <w:p w14:paraId="47759977" w14:textId="77777777" w:rsidR="00040782" w:rsidRPr="00CD2203" w:rsidRDefault="003B447A" w:rsidP="00040782">
      <w:pPr>
        <w:rPr>
          <w:rFonts w:eastAsia="Calibri"/>
          <w:color w:val="000000" w:themeColor="text1"/>
          <w:lang w:val="pl-PL"/>
        </w:rPr>
      </w:pPr>
      <w:r w:rsidRPr="00CD2203">
        <w:rPr>
          <w:rFonts w:eastAsia="Calibri"/>
          <w:color w:val="000000" w:themeColor="text1"/>
          <w:lang w:val="pl-PL"/>
        </w:rPr>
        <w:t xml:space="preserve">Aktualne rozwiązania systemowe </w:t>
      </w:r>
      <w:r w:rsidR="00E74E15" w:rsidRPr="00CD2203">
        <w:rPr>
          <w:rFonts w:eastAsia="Calibri"/>
          <w:color w:val="000000" w:themeColor="text1"/>
          <w:lang w:val="pl-PL"/>
        </w:rPr>
        <w:t xml:space="preserve">i silna defragmentacja </w:t>
      </w:r>
      <w:r w:rsidRPr="00CD2203">
        <w:rPr>
          <w:rFonts w:eastAsia="Calibri"/>
          <w:color w:val="000000" w:themeColor="text1"/>
          <w:lang w:val="pl-PL"/>
        </w:rPr>
        <w:t xml:space="preserve">w zakresie opieki nad pacjentem </w:t>
      </w:r>
      <w:r w:rsidR="00E74E15" w:rsidRPr="00CD2203">
        <w:rPr>
          <w:rFonts w:eastAsia="Calibri"/>
          <w:color w:val="000000" w:themeColor="text1"/>
          <w:lang w:val="pl-PL"/>
        </w:rPr>
        <w:t xml:space="preserve">w zaawansowanym stadium </w:t>
      </w:r>
      <w:proofErr w:type="spellStart"/>
      <w:r w:rsidR="00E74E15" w:rsidRPr="00CD2203">
        <w:rPr>
          <w:rFonts w:eastAsia="Calibri"/>
          <w:color w:val="000000" w:themeColor="text1"/>
          <w:lang w:val="pl-PL"/>
        </w:rPr>
        <w:t>PChN</w:t>
      </w:r>
      <w:proofErr w:type="spellEnd"/>
      <w:r w:rsidR="00E74E15" w:rsidRPr="00CD2203">
        <w:rPr>
          <w:rFonts w:eastAsia="Calibri"/>
          <w:color w:val="000000" w:themeColor="text1"/>
          <w:lang w:val="pl-PL"/>
        </w:rPr>
        <w:t xml:space="preserve"> nie tworzą odpowiednich warunków koniecznych do wdrożenia </w:t>
      </w:r>
      <w:r w:rsidR="00624091">
        <w:rPr>
          <w:rFonts w:eastAsia="Calibri"/>
          <w:color w:val="000000" w:themeColor="text1"/>
          <w:lang w:val="pl-PL"/>
        </w:rPr>
        <w:t xml:space="preserve">optymalnej </w:t>
      </w:r>
      <w:r w:rsidRPr="00CD2203">
        <w:rPr>
          <w:rFonts w:eastAsia="Calibri"/>
          <w:color w:val="000000" w:themeColor="text1"/>
          <w:lang w:val="pl-PL"/>
        </w:rPr>
        <w:t>ścieżk</w:t>
      </w:r>
      <w:r w:rsidR="00E74E15" w:rsidRPr="00CD2203">
        <w:rPr>
          <w:rFonts w:eastAsia="Calibri"/>
          <w:color w:val="000000" w:themeColor="text1"/>
          <w:lang w:val="pl-PL"/>
        </w:rPr>
        <w:t>i pacjenta</w:t>
      </w:r>
      <w:r w:rsidRPr="00CD2203">
        <w:rPr>
          <w:rFonts w:eastAsia="Calibri"/>
          <w:color w:val="000000" w:themeColor="text1"/>
          <w:lang w:val="pl-PL"/>
        </w:rPr>
        <w:t>.</w:t>
      </w:r>
      <w:r w:rsidR="00624091">
        <w:rPr>
          <w:rFonts w:eastAsia="Calibri"/>
          <w:color w:val="000000" w:themeColor="text1"/>
          <w:lang w:val="pl-PL"/>
        </w:rPr>
        <w:t xml:space="preserve"> Powyższy schemat obrazuje </w:t>
      </w:r>
      <w:r w:rsidR="002C201D">
        <w:rPr>
          <w:rFonts w:eastAsia="Calibri"/>
          <w:color w:val="000000" w:themeColor="text1"/>
          <w:lang w:val="pl-PL"/>
        </w:rPr>
        <w:t xml:space="preserve">wyzwanie przed którym stoją pacjenci wynikające z rozproszenia systemowego i </w:t>
      </w:r>
      <w:r w:rsidR="00624091">
        <w:rPr>
          <w:rFonts w:eastAsia="Calibri"/>
          <w:color w:val="000000" w:themeColor="text1"/>
          <w:lang w:val="pl-PL"/>
        </w:rPr>
        <w:t>rozdzielenia odpowiedzialności za poszczególne etapy leczenia</w:t>
      </w:r>
      <w:r w:rsidR="002C201D">
        <w:rPr>
          <w:rFonts w:eastAsia="Calibri"/>
          <w:color w:val="000000" w:themeColor="text1"/>
          <w:lang w:val="pl-PL"/>
        </w:rPr>
        <w:t xml:space="preserve">. </w:t>
      </w:r>
      <w:r w:rsidRPr="00CD2203">
        <w:rPr>
          <w:rFonts w:eastAsia="Calibri"/>
          <w:color w:val="000000" w:themeColor="text1"/>
          <w:lang w:val="pl-PL"/>
        </w:rPr>
        <w:t>B</w:t>
      </w:r>
      <w:r w:rsidR="00040782" w:rsidRPr="00CD2203">
        <w:rPr>
          <w:rFonts w:eastAsia="Calibri"/>
          <w:color w:val="000000" w:themeColor="text1"/>
          <w:lang w:val="pl-PL"/>
        </w:rPr>
        <w:t>rakuje odgórnych regulacj</w:t>
      </w:r>
      <w:r w:rsidR="00AE7042">
        <w:rPr>
          <w:rFonts w:eastAsia="Calibri"/>
          <w:color w:val="000000" w:themeColor="text1"/>
          <w:lang w:val="pl-PL"/>
        </w:rPr>
        <w:t xml:space="preserve">i </w:t>
      </w:r>
      <w:r w:rsidR="00624091">
        <w:rPr>
          <w:rFonts w:eastAsia="Calibri"/>
          <w:color w:val="000000" w:themeColor="text1"/>
          <w:lang w:val="pl-PL"/>
        </w:rPr>
        <w:t xml:space="preserve">dotyczących zasad komunikacji i </w:t>
      </w:r>
      <w:r w:rsidR="00040782" w:rsidRPr="00CD2203">
        <w:rPr>
          <w:rFonts w:eastAsia="Calibri"/>
          <w:color w:val="000000" w:themeColor="text1"/>
          <w:lang w:val="pl-PL"/>
        </w:rPr>
        <w:t xml:space="preserve">współpracy pomiędzy poszczególnymi świadczeniodawcami oraz </w:t>
      </w:r>
      <w:r w:rsidR="00624091">
        <w:rPr>
          <w:rFonts w:eastAsia="Calibri"/>
          <w:color w:val="000000" w:themeColor="text1"/>
          <w:lang w:val="pl-PL"/>
        </w:rPr>
        <w:t xml:space="preserve">przejrzystości </w:t>
      </w:r>
      <w:r w:rsidR="00E74E15" w:rsidRPr="00CD2203">
        <w:rPr>
          <w:rFonts w:eastAsia="Calibri"/>
          <w:color w:val="000000" w:themeColor="text1"/>
          <w:lang w:val="pl-PL"/>
        </w:rPr>
        <w:t>w zakresie wyników leczenia osiąganych przez poszczególnyc</w:t>
      </w:r>
      <w:r w:rsidR="00624091">
        <w:rPr>
          <w:rFonts w:eastAsia="Calibri"/>
          <w:color w:val="000000" w:themeColor="text1"/>
          <w:lang w:val="pl-PL"/>
        </w:rPr>
        <w:t>h świadczeniodawców. B</w:t>
      </w:r>
      <w:r w:rsidR="00E74E15" w:rsidRPr="00CD2203">
        <w:rPr>
          <w:rFonts w:eastAsia="Calibri"/>
          <w:color w:val="000000" w:themeColor="text1"/>
          <w:lang w:val="pl-PL"/>
        </w:rPr>
        <w:t xml:space="preserve">rakuje </w:t>
      </w:r>
      <w:r w:rsidR="002C201D">
        <w:rPr>
          <w:rFonts w:eastAsia="Calibri"/>
          <w:color w:val="000000" w:themeColor="text1"/>
          <w:lang w:val="pl-PL"/>
        </w:rPr>
        <w:t xml:space="preserve">też </w:t>
      </w:r>
      <w:r w:rsidR="002507AB" w:rsidRPr="00CD2203">
        <w:rPr>
          <w:rFonts w:eastAsia="Calibri"/>
          <w:color w:val="000000" w:themeColor="text1"/>
          <w:lang w:val="pl-PL"/>
        </w:rPr>
        <w:t xml:space="preserve">mechanizmu </w:t>
      </w:r>
      <w:r w:rsidR="00040782" w:rsidRPr="00CD2203">
        <w:rPr>
          <w:rFonts w:eastAsia="Calibri"/>
          <w:color w:val="000000" w:themeColor="text1"/>
          <w:lang w:val="pl-PL"/>
        </w:rPr>
        <w:t>wyznacz</w:t>
      </w:r>
      <w:r w:rsidR="002507AB" w:rsidRPr="00CD2203">
        <w:rPr>
          <w:rFonts w:eastAsia="Calibri"/>
          <w:color w:val="000000" w:themeColor="text1"/>
          <w:lang w:val="pl-PL"/>
        </w:rPr>
        <w:t>ającego i monitorującego</w:t>
      </w:r>
      <w:r w:rsidR="00040782" w:rsidRPr="00CD2203">
        <w:rPr>
          <w:rFonts w:eastAsia="Calibri"/>
          <w:color w:val="000000" w:themeColor="text1"/>
          <w:lang w:val="pl-PL"/>
        </w:rPr>
        <w:t xml:space="preserve"> jednostki organizacyjne pełniące rolę koordynatora</w:t>
      </w:r>
      <w:r w:rsidR="00F53DF6" w:rsidRPr="00CD2203">
        <w:rPr>
          <w:rFonts w:eastAsia="Calibri"/>
          <w:color w:val="000000" w:themeColor="text1"/>
          <w:lang w:val="pl-PL"/>
        </w:rPr>
        <w:t xml:space="preserve"> </w:t>
      </w:r>
      <w:r w:rsidR="002507AB" w:rsidRPr="00CD2203">
        <w:rPr>
          <w:rFonts w:eastAsia="Calibri"/>
          <w:color w:val="000000" w:themeColor="text1"/>
          <w:lang w:val="pl-PL"/>
        </w:rPr>
        <w:t xml:space="preserve">opieki. </w:t>
      </w:r>
      <w:r w:rsidR="009D2E25" w:rsidRPr="00CD2203">
        <w:rPr>
          <w:rFonts w:eastAsia="Calibri"/>
          <w:color w:val="000000" w:themeColor="text1"/>
          <w:lang w:val="pl-PL"/>
        </w:rPr>
        <w:t>Ani płatnik</w:t>
      </w:r>
      <w:r w:rsidR="002507AB" w:rsidRPr="00CD2203">
        <w:rPr>
          <w:rFonts w:eastAsia="Calibri"/>
          <w:color w:val="000000" w:themeColor="text1"/>
          <w:lang w:val="pl-PL"/>
        </w:rPr>
        <w:t>,</w:t>
      </w:r>
      <w:r w:rsidR="009D2E25" w:rsidRPr="00CD2203">
        <w:rPr>
          <w:rFonts w:eastAsia="Calibri"/>
          <w:color w:val="000000" w:themeColor="text1"/>
          <w:lang w:val="pl-PL"/>
        </w:rPr>
        <w:t xml:space="preserve"> ani pacjenci nie są w stanie zweryfikować jakości </w:t>
      </w:r>
      <w:r w:rsidR="002507AB" w:rsidRPr="00CD2203">
        <w:rPr>
          <w:rFonts w:eastAsia="Calibri"/>
          <w:color w:val="000000" w:themeColor="text1"/>
          <w:lang w:val="pl-PL"/>
        </w:rPr>
        <w:t>udzielanych</w:t>
      </w:r>
      <w:r w:rsidR="00500008" w:rsidRPr="00CD2203">
        <w:rPr>
          <w:rFonts w:eastAsia="Calibri"/>
          <w:color w:val="000000" w:themeColor="text1"/>
          <w:lang w:val="pl-PL"/>
        </w:rPr>
        <w:t xml:space="preserve"> </w:t>
      </w:r>
      <w:r w:rsidR="009D2E25" w:rsidRPr="00CD2203">
        <w:rPr>
          <w:rFonts w:eastAsia="Calibri"/>
          <w:color w:val="000000" w:themeColor="text1"/>
          <w:lang w:val="pl-PL"/>
        </w:rPr>
        <w:t>świadcze</w:t>
      </w:r>
      <w:r w:rsidR="002507AB" w:rsidRPr="00CD2203">
        <w:rPr>
          <w:rFonts w:eastAsia="Calibri"/>
          <w:color w:val="000000" w:themeColor="text1"/>
          <w:lang w:val="pl-PL"/>
        </w:rPr>
        <w:t xml:space="preserve">ń </w:t>
      </w:r>
      <w:r w:rsidR="009D2E25" w:rsidRPr="00CD2203">
        <w:rPr>
          <w:rFonts w:eastAsia="Calibri"/>
          <w:color w:val="000000" w:themeColor="text1"/>
          <w:lang w:val="pl-PL"/>
        </w:rPr>
        <w:t xml:space="preserve">w </w:t>
      </w:r>
      <w:r w:rsidR="002507AB" w:rsidRPr="00CD2203">
        <w:rPr>
          <w:rFonts w:eastAsia="Calibri"/>
          <w:color w:val="000000" w:themeColor="text1"/>
          <w:lang w:val="pl-PL"/>
        </w:rPr>
        <w:t>zależności od świadczeniodawcy</w:t>
      </w:r>
      <w:r w:rsidR="009D2E25" w:rsidRPr="00CD2203">
        <w:rPr>
          <w:rFonts w:eastAsia="Calibri"/>
          <w:color w:val="000000" w:themeColor="text1"/>
          <w:lang w:val="pl-PL"/>
        </w:rPr>
        <w:t xml:space="preserve">. </w:t>
      </w:r>
    </w:p>
    <w:p w14:paraId="058D3922" w14:textId="77777777" w:rsidR="002A2DDD" w:rsidRPr="00487C5A" w:rsidRDefault="001C57A3" w:rsidP="002A2DDD">
      <w:pPr>
        <w:pStyle w:val="EYHeading2"/>
        <w:rPr>
          <w:rFonts w:eastAsia="Calibri"/>
          <w:color w:val="000000" w:themeColor="text1"/>
          <w:lang w:val="pl-PL"/>
        </w:rPr>
      </w:pPr>
      <w:bookmarkStart w:id="83" w:name="_Toc486537924"/>
      <w:r w:rsidRPr="00487C5A">
        <w:rPr>
          <w:rFonts w:eastAsia="Calibri"/>
          <w:color w:val="000000" w:themeColor="text1"/>
          <w:lang w:val="pl-PL"/>
        </w:rPr>
        <w:t xml:space="preserve">Dostępne świadczenia i zasoby w ramach systemu opieki nad pacjentem z </w:t>
      </w:r>
      <w:proofErr w:type="spellStart"/>
      <w:r w:rsidRPr="00487C5A">
        <w:rPr>
          <w:rFonts w:eastAsia="Calibri"/>
          <w:color w:val="000000" w:themeColor="text1"/>
          <w:lang w:val="pl-PL"/>
        </w:rPr>
        <w:t>PChN</w:t>
      </w:r>
      <w:bookmarkEnd w:id="83"/>
      <w:proofErr w:type="spellEnd"/>
    </w:p>
    <w:p w14:paraId="3C45E4F8" w14:textId="38AFFDD8" w:rsidR="00487C5A" w:rsidRPr="00060165" w:rsidRDefault="001C57A3" w:rsidP="00060165">
      <w:pPr>
        <w:pStyle w:val="EYHeading3"/>
        <w:rPr>
          <w:rFonts w:eastAsia="Calibri"/>
          <w:color w:val="FF0000"/>
          <w:lang w:val="pl-PL"/>
        </w:rPr>
      </w:pPr>
      <w:bookmarkStart w:id="84" w:name="_Toc486537925"/>
      <w:r w:rsidRPr="00487C5A">
        <w:rPr>
          <w:rFonts w:eastAsia="Calibri"/>
          <w:color w:val="000000" w:themeColor="text1"/>
          <w:lang w:val="pl-PL"/>
        </w:rPr>
        <w:t>Z</w:t>
      </w:r>
      <w:r w:rsidR="002A2DDD" w:rsidRPr="00487C5A">
        <w:rPr>
          <w:rFonts w:eastAsia="Calibri"/>
          <w:color w:val="000000" w:themeColor="text1"/>
          <w:lang w:val="pl-PL"/>
        </w:rPr>
        <w:t>akres</w:t>
      </w:r>
      <w:r w:rsidRPr="00487C5A">
        <w:rPr>
          <w:rFonts w:eastAsia="Calibri"/>
          <w:color w:val="000000" w:themeColor="text1"/>
          <w:lang w:val="pl-PL"/>
        </w:rPr>
        <w:t xml:space="preserve"> i finansowanie</w:t>
      </w:r>
      <w:r w:rsidR="002A2DDD" w:rsidRPr="00487C5A">
        <w:rPr>
          <w:rFonts w:eastAsia="Calibri"/>
          <w:color w:val="000000" w:themeColor="text1"/>
          <w:lang w:val="pl-PL"/>
        </w:rPr>
        <w:t xml:space="preserve"> świadczeń</w:t>
      </w:r>
      <w:bookmarkEnd w:id="84"/>
    </w:p>
    <w:p w14:paraId="606DE259" w14:textId="77777777" w:rsidR="00AF46E4" w:rsidRPr="00CD2203" w:rsidRDefault="00AF46E4" w:rsidP="00AF46E4">
      <w:pPr>
        <w:rPr>
          <w:rFonts w:eastAsia="Calibri"/>
          <w:color w:val="000000" w:themeColor="text1"/>
          <w:lang w:val="pl-PL"/>
        </w:rPr>
      </w:pPr>
      <w:r w:rsidRPr="00CD2203">
        <w:rPr>
          <w:rFonts w:eastAsia="Calibri"/>
          <w:color w:val="000000" w:themeColor="text1"/>
          <w:lang w:val="pl-PL"/>
        </w:rPr>
        <w:t>Do</w:t>
      </w:r>
      <w:r w:rsidR="002507AB" w:rsidRPr="00CD2203">
        <w:rPr>
          <w:rFonts w:eastAsia="Calibri"/>
          <w:color w:val="000000" w:themeColor="text1"/>
          <w:lang w:val="pl-PL"/>
        </w:rPr>
        <w:t xml:space="preserve"> zalet </w:t>
      </w:r>
      <w:r w:rsidRPr="00CD2203">
        <w:rPr>
          <w:rFonts w:eastAsia="Calibri"/>
          <w:color w:val="000000" w:themeColor="text1"/>
          <w:lang w:val="pl-PL"/>
        </w:rPr>
        <w:t xml:space="preserve">obowiązującego </w:t>
      </w:r>
      <w:r w:rsidR="002507AB" w:rsidRPr="00CD2203">
        <w:rPr>
          <w:rFonts w:eastAsia="Calibri"/>
          <w:color w:val="000000" w:themeColor="text1"/>
          <w:lang w:val="pl-PL"/>
        </w:rPr>
        <w:t xml:space="preserve">aktualnie </w:t>
      </w:r>
      <w:r w:rsidRPr="00CD2203">
        <w:rPr>
          <w:rFonts w:eastAsia="Calibri"/>
          <w:color w:val="000000" w:themeColor="text1"/>
          <w:lang w:val="pl-PL"/>
        </w:rPr>
        <w:t xml:space="preserve">modelu opieki </w:t>
      </w:r>
      <w:r w:rsidR="002507AB" w:rsidRPr="00CD2203">
        <w:rPr>
          <w:rFonts w:eastAsia="Calibri"/>
          <w:color w:val="000000" w:themeColor="text1"/>
          <w:lang w:val="pl-PL"/>
        </w:rPr>
        <w:t xml:space="preserve">należy </w:t>
      </w:r>
      <w:r w:rsidRPr="00CD2203">
        <w:rPr>
          <w:rFonts w:eastAsia="Calibri"/>
          <w:color w:val="000000" w:themeColor="text1"/>
          <w:lang w:val="pl-PL"/>
        </w:rPr>
        <w:t>powszechny dostęp do dializoterapii. Z drugiej strony</w:t>
      </w:r>
      <w:r w:rsidR="002507AB" w:rsidRPr="00CD2203">
        <w:rPr>
          <w:rFonts w:eastAsia="Calibri"/>
          <w:color w:val="000000" w:themeColor="text1"/>
          <w:lang w:val="pl-PL"/>
        </w:rPr>
        <w:t>,</w:t>
      </w:r>
      <w:r w:rsidRPr="00CD2203">
        <w:rPr>
          <w:rFonts w:eastAsia="Calibri"/>
          <w:color w:val="000000" w:themeColor="text1"/>
          <w:lang w:val="pl-PL"/>
        </w:rPr>
        <w:t xml:space="preserve"> świadczenia ratujące życie są limitowane wysokością kontraktu.</w:t>
      </w:r>
    </w:p>
    <w:p w14:paraId="72914B84" w14:textId="5FD06C02" w:rsidR="00AF46E4" w:rsidRDefault="002507AB" w:rsidP="00A20876">
      <w:pPr>
        <w:rPr>
          <w:rFonts w:eastAsia="Calibri"/>
          <w:color w:val="000000" w:themeColor="text1"/>
          <w:lang w:val="pl-PL"/>
        </w:rPr>
      </w:pPr>
      <w:r w:rsidRPr="00CD2203">
        <w:rPr>
          <w:rFonts w:eastAsia="Calibri"/>
          <w:color w:val="000000" w:themeColor="text1"/>
          <w:lang w:val="pl-PL"/>
        </w:rPr>
        <w:t>Na jakość leczenia nerkozastępczego wpływa ograniczenie swobody wyboru metody leczenia - w</w:t>
      </w:r>
      <w:r w:rsidR="00AF46E4" w:rsidRPr="00CD2203">
        <w:rPr>
          <w:rFonts w:eastAsia="Calibri"/>
          <w:color w:val="000000" w:themeColor="text1"/>
          <w:lang w:val="pl-PL"/>
        </w:rPr>
        <w:t xml:space="preserve"> </w:t>
      </w:r>
      <w:r w:rsidRPr="00CD2203">
        <w:rPr>
          <w:rFonts w:eastAsia="Calibri"/>
          <w:color w:val="000000" w:themeColor="text1"/>
          <w:lang w:val="pl-PL"/>
        </w:rPr>
        <w:t>ni</w:t>
      </w:r>
      <w:r w:rsidR="00F6048C" w:rsidRPr="00CD2203">
        <w:rPr>
          <w:rFonts w:eastAsia="Calibri"/>
          <w:color w:val="000000" w:themeColor="text1"/>
          <w:lang w:val="pl-PL"/>
        </w:rPr>
        <w:t>ektór</w:t>
      </w:r>
      <w:r w:rsidRPr="00CD2203">
        <w:rPr>
          <w:rFonts w:eastAsia="Calibri"/>
          <w:color w:val="000000" w:themeColor="text1"/>
          <w:lang w:val="pl-PL"/>
        </w:rPr>
        <w:t xml:space="preserve">ych </w:t>
      </w:r>
      <w:r w:rsidR="00AF46E4" w:rsidRPr="00CD2203">
        <w:rPr>
          <w:rFonts w:eastAsia="Calibri"/>
          <w:color w:val="000000" w:themeColor="text1"/>
          <w:lang w:val="pl-PL"/>
        </w:rPr>
        <w:t xml:space="preserve">przypadkach stacje dializ mogą świadczyć usługi jedynie w zakresie hemodializy albo dializy otrzewnowej. </w:t>
      </w:r>
      <w:r w:rsidRPr="00CD2203">
        <w:rPr>
          <w:rFonts w:eastAsia="Calibri"/>
          <w:color w:val="000000" w:themeColor="text1"/>
          <w:lang w:val="pl-PL"/>
        </w:rPr>
        <w:t>Wybór t</w:t>
      </w:r>
      <w:r w:rsidR="00AF46E4" w:rsidRPr="00CD2203">
        <w:rPr>
          <w:rFonts w:eastAsia="Calibri"/>
          <w:color w:val="000000" w:themeColor="text1"/>
          <w:lang w:val="pl-PL"/>
        </w:rPr>
        <w:t>erapi</w:t>
      </w:r>
      <w:r w:rsidRPr="00CD2203">
        <w:rPr>
          <w:rFonts w:eastAsia="Calibri"/>
          <w:color w:val="000000" w:themeColor="text1"/>
          <w:lang w:val="pl-PL"/>
        </w:rPr>
        <w:t xml:space="preserve">i bywa zatem suboptymalny i zależny od </w:t>
      </w:r>
      <w:r w:rsidR="00AF46E4" w:rsidRPr="00CD2203">
        <w:rPr>
          <w:rFonts w:eastAsia="Calibri"/>
          <w:color w:val="000000" w:themeColor="text1"/>
          <w:lang w:val="pl-PL"/>
        </w:rPr>
        <w:t>kontrakt</w:t>
      </w:r>
      <w:r w:rsidRPr="00CD2203">
        <w:rPr>
          <w:rFonts w:eastAsia="Calibri"/>
          <w:color w:val="000000" w:themeColor="text1"/>
          <w:lang w:val="pl-PL"/>
        </w:rPr>
        <w:t xml:space="preserve">u </w:t>
      </w:r>
      <w:r w:rsidR="00F6048C" w:rsidRPr="00CD2203">
        <w:rPr>
          <w:rFonts w:eastAsia="Calibri"/>
          <w:color w:val="000000" w:themeColor="text1"/>
          <w:lang w:val="pl-PL"/>
        </w:rPr>
        <w:t xml:space="preserve">świadczeniodawcy </w:t>
      </w:r>
      <w:r w:rsidRPr="00CD2203">
        <w:rPr>
          <w:rFonts w:eastAsia="Calibri"/>
          <w:color w:val="000000" w:themeColor="text1"/>
          <w:lang w:val="pl-PL"/>
        </w:rPr>
        <w:t xml:space="preserve">z NFZ, niekoniecznie od </w:t>
      </w:r>
      <w:r w:rsidR="00F6048C" w:rsidRPr="00CD2203">
        <w:rPr>
          <w:rFonts w:eastAsia="Calibri"/>
          <w:color w:val="000000" w:themeColor="text1"/>
          <w:lang w:val="pl-PL"/>
        </w:rPr>
        <w:t>klinicznie optymalnej metody leczenia</w:t>
      </w:r>
      <w:r w:rsidR="00AF46E4" w:rsidRPr="00CD2203">
        <w:rPr>
          <w:rFonts w:eastAsia="Calibri"/>
          <w:color w:val="000000" w:themeColor="text1"/>
          <w:lang w:val="pl-PL"/>
        </w:rPr>
        <w:t xml:space="preserve">. Ponadto polscy pacjenci mają </w:t>
      </w:r>
      <w:r w:rsidR="009D48A9">
        <w:rPr>
          <w:rFonts w:eastAsia="Calibri"/>
          <w:color w:val="000000" w:themeColor="text1"/>
          <w:lang w:val="pl-PL"/>
        </w:rPr>
        <w:lastRenderedPageBreak/>
        <w:t>ograniczony</w:t>
      </w:r>
      <w:r w:rsidR="009D48A9" w:rsidRPr="00CD2203">
        <w:rPr>
          <w:rFonts w:eastAsia="Calibri"/>
          <w:color w:val="000000" w:themeColor="text1"/>
          <w:lang w:val="pl-PL"/>
        </w:rPr>
        <w:t xml:space="preserve"> </w:t>
      </w:r>
      <w:r w:rsidR="00AF46E4" w:rsidRPr="00CD2203">
        <w:rPr>
          <w:rFonts w:eastAsia="Calibri"/>
          <w:color w:val="000000" w:themeColor="text1"/>
          <w:lang w:val="pl-PL"/>
        </w:rPr>
        <w:t xml:space="preserve">dostęp do terapii nowoczesnych, </w:t>
      </w:r>
      <w:r w:rsidR="00F6048C" w:rsidRPr="00CD2203">
        <w:rPr>
          <w:rFonts w:eastAsia="Calibri"/>
          <w:color w:val="000000" w:themeColor="text1"/>
          <w:lang w:val="pl-PL"/>
        </w:rPr>
        <w:t xml:space="preserve">jak np. </w:t>
      </w:r>
      <w:proofErr w:type="spellStart"/>
      <w:r w:rsidR="00AF46E4" w:rsidRPr="00CD2203">
        <w:rPr>
          <w:rFonts w:eastAsia="Calibri"/>
          <w:color w:val="000000" w:themeColor="text1"/>
          <w:lang w:val="pl-PL"/>
        </w:rPr>
        <w:t>hemodiafiltracj</w:t>
      </w:r>
      <w:r w:rsidR="00F6048C" w:rsidRPr="00CD2203">
        <w:rPr>
          <w:rFonts w:eastAsia="Calibri"/>
          <w:color w:val="000000" w:themeColor="text1"/>
          <w:lang w:val="pl-PL"/>
        </w:rPr>
        <w:t>a</w:t>
      </w:r>
      <w:proofErr w:type="spellEnd"/>
      <w:r w:rsidR="00AF46E4" w:rsidRPr="00CD2203">
        <w:rPr>
          <w:rFonts w:eastAsia="Calibri"/>
          <w:color w:val="000000" w:themeColor="text1"/>
          <w:lang w:val="pl-PL"/>
        </w:rPr>
        <w:t>.</w:t>
      </w:r>
      <w:r w:rsidR="00530BC5" w:rsidRPr="00CD2203">
        <w:rPr>
          <w:rFonts w:eastAsia="Calibri"/>
          <w:color w:val="000000" w:themeColor="text1"/>
          <w:lang w:val="pl-PL"/>
        </w:rPr>
        <w:t xml:space="preserve"> </w:t>
      </w:r>
      <w:r w:rsidR="00F6048C" w:rsidRPr="00CD2203">
        <w:rPr>
          <w:rFonts w:eastAsia="Calibri"/>
          <w:color w:val="000000" w:themeColor="text1"/>
          <w:lang w:val="pl-PL"/>
        </w:rPr>
        <w:t xml:space="preserve">Oznacza to, </w:t>
      </w:r>
      <w:r w:rsidR="00A46870">
        <w:rPr>
          <w:rFonts w:eastAsia="Calibri"/>
          <w:color w:val="000000" w:themeColor="text1"/>
          <w:lang w:val="pl-PL"/>
        </w:rPr>
        <w:t xml:space="preserve">że </w:t>
      </w:r>
      <w:r w:rsidR="00F6048C" w:rsidRPr="00CD2203">
        <w:rPr>
          <w:rFonts w:eastAsia="Calibri"/>
          <w:color w:val="000000" w:themeColor="text1"/>
          <w:lang w:val="pl-PL"/>
        </w:rPr>
        <w:t xml:space="preserve">wykorzystanie dorobku medycyny opartej na </w:t>
      </w:r>
      <w:r w:rsidR="002C201D">
        <w:rPr>
          <w:rFonts w:eastAsia="Calibri"/>
          <w:color w:val="000000" w:themeColor="text1"/>
          <w:lang w:val="pl-PL"/>
        </w:rPr>
        <w:t>dowodach</w:t>
      </w:r>
      <w:r w:rsidR="00F6048C" w:rsidRPr="00CD2203">
        <w:rPr>
          <w:rFonts w:eastAsia="Calibri"/>
          <w:color w:val="000000" w:themeColor="text1"/>
          <w:lang w:val="pl-PL"/>
        </w:rPr>
        <w:t xml:space="preserve"> jest ograniczone poprzez dysfun</w:t>
      </w:r>
      <w:r w:rsidR="00500008" w:rsidRPr="00CD2203">
        <w:rPr>
          <w:rFonts w:eastAsia="Calibri"/>
          <w:color w:val="000000" w:themeColor="text1"/>
          <w:lang w:val="pl-PL"/>
        </w:rPr>
        <w:t>k</w:t>
      </w:r>
      <w:r w:rsidR="00F6048C" w:rsidRPr="00CD2203">
        <w:rPr>
          <w:rFonts w:eastAsia="Calibri"/>
          <w:color w:val="000000" w:themeColor="text1"/>
          <w:lang w:val="pl-PL"/>
        </w:rPr>
        <w:t>cje systemowe i brak odpowiedniego poziomu finansowania świadczeń</w:t>
      </w:r>
      <w:r w:rsidR="00530BC5" w:rsidRPr="00CD2203">
        <w:rPr>
          <w:rFonts w:eastAsia="Calibri"/>
          <w:color w:val="000000" w:themeColor="text1"/>
          <w:lang w:val="pl-PL"/>
        </w:rPr>
        <w:t>.</w:t>
      </w:r>
    </w:p>
    <w:p w14:paraId="459AB696" w14:textId="1632FA70" w:rsidR="009D48A9" w:rsidRDefault="009D48A9" w:rsidP="00A20876">
      <w:pPr>
        <w:rPr>
          <w:rFonts w:eastAsia="Calibri"/>
          <w:color w:val="000000" w:themeColor="text1"/>
          <w:lang w:val="pl-PL"/>
        </w:rPr>
      </w:pPr>
      <w:r>
        <w:rPr>
          <w:rFonts w:eastAsia="Calibri"/>
          <w:color w:val="000000" w:themeColor="text1"/>
          <w:lang w:val="pl-PL"/>
        </w:rPr>
        <w:t xml:space="preserve">Istotnym elementem </w:t>
      </w:r>
      <w:r w:rsidR="00A46870">
        <w:rPr>
          <w:rFonts w:eastAsia="Calibri"/>
          <w:color w:val="000000" w:themeColor="text1"/>
          <w:lang w:val="pl-PL"/>
        </w:rPr>
        <w:t>dializoterapii</w:t>
      </w:r>
      <w:r>
        <w:rPr>
          <w:rFonts w:eastAsia="Calibri"/>
          <w:color w:val="000000" w:themeColor="text1"/>
          <w:lang w:val="pl-PL"/>
        </w:rPr>
        <w:t xml:space="preserve"> </w:t>
      </w:r>
      <w:r w:rsidR="00A46870">
        <w:rPr>
          <w:rFonts w:eastAsia="Calibri"/>
          <w:color w:val="000000" w:themeColor="text1"/>
          <w:lang w:val="pl-PL"/>
        </w:rPr>
        <w:t xml:space="preserve">jest dobrej jakości </w:t>
      </w:r>
      <w:r>
        <w:rPr>
          <w:rFonts w:eastAsia="Calibri"/>
          <w:color w:val="000000" w:themeColor="text1"/>
          <w:lang w:val="pl-PL"/>
        </w:rPr>
        <w:t>dostęp</w:t>
      </w:r>
      <w:r w:rsidR="00A46870">
        <w:rPr>
          <w:rFonts w:eastAsia="Calibri"/>
          <w:color w:val="000000" w:themeColor="text1"/>
          <w:lang w:val="pl-PL"/>
        </w:rPr>
        <w:t xml:space="preserve"> naczyniowy lub otrzewnowy</w:t>
      </w:r>
      <w:r>
        <w:rPr>
          <w:rFonts w:eastAsia="Calibri"/>
          <w:color w:val="000000" w:themeColor="text1"/>
          <w:lang w:val="pl-PL"/>
        </w:rPr>
        <w:t xml:space="preserve">. </w:t>
      </w:r>
      <w:r w:rsidR="00A46870">
        <w:rPr>
          <w:rFonts w:eastAsia="Calibri"/>
          <w:color w:val="000000" w:themeColor="text1"/>
          <w:lang w:val="pl-PL"/>
        </w:rPr>
        <w:t>W przypadku dostępów naczyniowych niezbędnych dla prowadzenia hemodializoterapii optymalnym (dającym najmniejszą liczbę powikłań i najdłuższe przeżycie chorego) dostępem jest wytworzona chirurgicznie przetoka tętniczo-żylna. Niestety w ostatnich latach o</w:t>
      </w:r>
      <w:r>
        <w:rPr>
          <w:rFonts w:eastAsia="Calibri"/>
          <w:color w:val="000000" w:themeColor="text1"/>
          <w:lang w:val="pl-PL"/>
        </w:rPr>
        <w:t xml:space="preserve">bserwuje się tendencję zmniejszania udziału liczby przetok wśród pacjentów dializowanych w stosunku do pacjentów z cewnikami. </w:t>
      </w:r>
    </w:p>
    <w:p w14:paraId="01BF7684" w14:textId="2C300662" w:rsidR="00970D6F" w:rsidRPr="00060165" w:rsidRDefault="00970D6F" w:rsidP="00060165">
      <w:pPr>
        <w:pStyle w:val="Legenda"/>
        <w:keepNext/>
        <w:rPr>
          <w:b/>
          <w:i w:val="0"/>
          <w:color w:val="auto"/>
          <w:lang w:val="pl-PL"/>
        </w:rPr>
      </w:pPr>
      <w:bookmarkStart w:id="85" w:name="_Toc486537992"/>
      <w:r w:rsidRPr="00060165">
        <w:rPr>
          <w:b/>
          <w:i w:val="0"/>
          <w:color w:val="auto"/>
          <w:lang w:val="pl-PL"/>
        </w:rPr>
        <w:t xml:space="preserve">Wykres </w:t>
      </w:r>
      <w:r w:rsidRPr="00060165">
        <w:rPr>
          <w:b/>
          <w:i w:val="0"/>
          <w:color w:val="auto"/>
          <w:lang w:val="pl-PL"/>
        </w:rPr>
        <w:fldChar w:fldCharType="begin"/>
      </w:r>
      <w:r w:rsidRPr="00060165">
        <w:rPr>
          <w:b/>
          <w:i w:val="0"/>
          <w:color w:val="auto"/>
          <w:lang w:val="pl-PL"/>
        </w:rPr>
        <w:instrText xml:space="preserve"> SEQ Wykres \* ARABIC </w:instrText>
      </w:r>
      <w:r w:rsidRPr="00060165">
        <w:rPr>
          <w:b/>
          <w:i w:val="0"/>
          <w:color w:val="auto"/>
          <w:lang w:val="pl-PL"/>
        </w:rPr>
        <w:fldChar w:fldCharType="separate"/>
      </w:r>
      <w:r w:rsidR="005C7285">
        <w:rPr>
          <w:b/>
          <w:i w:val="0"/>
          <w:noProof/>
          <w:color w:val="auto"/>
          <w:lang w:val="pl-PL"/>
        </w:rPr>
        <w:t>1</w:t>
      </w:r>
      <w:r w:rsidRPr="00060165">
        <w:rPr>
          <w:b/>
          <w:i w:val="0"/>
          <w:color w:val="auto"/>
          <w:lang w:val="pl-PL"/>
        </w:rPr>
        <w:fldChar w:fldCharType="end"/>
      </w:r>
      <w:r w:rsidRPr="00060165">
        <w:rPr>
          <w:b/>
          <w:i w:val="0"/>
          <w:color w:val="auto"/>
          <w:lang w:val="pl-PL"/>
        </w:rPr>
        <w:t xml:space="preserve"> Odsetek pacjentów dializowanych z dostępem naczyniowym w formie przetoki</w:t>
      </w:r>
      <w:bookmarkEnd w:id="85"/>
    </w:p>
    <w:p w14:paraId="255EF2E2" w14:textId="13658FF2" w:rsidR="00970D6F" w:rsidRDefault="00970D6F" w:rsidP="00A20876">
      <w:pPr>
        <w:rPr>
          <w:rFonts w:eastAsia="Calibri"/>
          <w:color w:val="000000" w:themeColor="text1"/>
          <w:lang w:val="pl-PL"/>
        </w:rPr>
      </w:pPr>
      <w:r>
        <w:rPr>
          <w:rFonts w:eastAsia="Calibri"/>
          <w:noProof/>
          <w:color w:val="000000" w:themeColor="text1"/>
          <w:lang w:val="pl-PL" w:eastAsia="pl-PL"/>
        </w:rPr>
        <w:drawing>
          <wp:inline distT="0" distB="0" distL="0" distR="0" wp14:anchorId="3A4FF9C0" wp14:editId="3754F767">
            <wp:extent cx="3963600" cy="2376000"/>
            <wp:effectExtent l="0" t="0" r="0" b="571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odsetek przetok.PNG"/>
                    <pic:cNvPicPr/>
                  </pic:nvPicPr>
                  <pic:blipFill>
                    <a:blip r:embed="rId15">
                      <a:extLst>
                        <a:ext uri="{28A0092B-C50C-407E-A947-70E740481C1C}">
                          <a14:useLocalDpi xmlns:a14="http://schemas.microsoft.com/office/drawing/2010/main" val="0"/>
                        </a:ext>
                      </a:extLst>
                    </a:blip>
                    <a:stretch>
                      <a:fillRect/>
                    </a:stretch>
                  </pic:blipFill>
                  <pic:spPr>
                    <a:xfrm>
                      <a:off x="0" y="0"/>
                      <a:ext cx="3963600" cy="2376000"/>
                    </a:xfrm>
                    <a:prstGeom prst="rect">
                      <a:avLst/>
                    </a:prstGeom>
                  </pic:spPr>
                </pic:pic>
              </a:graphicData>
            </a:graphic>
          </wp:inline>
        </w:drawing>
      </w:r>
    </w:p>
    <w:p w14:paraId="269C80FA" w14:textId="2124B0C4" w:rsidR="00970D6F" w:rsidRPr="00060165" w:rsidRDefault="00970D6F" w:rsidP="00A20876">
      <w:pPr>
        <w:rPr>
          <w:rFonts w:eastAsia="Calibri"/>
          <w:color w:val="000000" w:themeColor="text1"/>
          <w:sz w:val="18"/>
          <w:szCs w:val="18"/>
          <w:lang w:val="pl-PL"/>
        </w:rPr>
      </w:pPr>
      <w:r w:rsidRPr="00060165">
        <w:rPr>
          <w:rFonts w:eastAsia="Calibri"/>
          <w:color w:val="000000" w:themeColor="text1"/>
          <w:sz w:val="18"/>
          <w:szCs w:val="18"/>
          <w:lang w:val="pl-PL"/>
        </w:rPr>
        <w:t>Źródło: Dane wybranych świadczeniodawców obejmujące ok 30% populacji dializowanych</w:t>
      </w:r>
    </w:p>
    <w:p w14:paraId="4B0B0954" w14:textId="77777777" w:rsidR="002A2DDD" w:rsidRPr="00487C5A" w:rsidRDefault="002A2DDD" w:rsidP="002A2DDD">
      <w:pPr>
        <w:pStyle w:val="EYHeading3"/>
        <w:rPr>
          <w:rFonts w:eastAsia="Calibri"/>
          <w:color w:val="000000" w:themeColor="text1"/>
          <w:lang w:val="pl-PL"/>
        </w:rPr>
      </w:pPr>
      <w:bookmarkStart w:id="86" w:name="_Toc486537926"/>
      <w:r w:rsidRPr="00487C5A">
        <w:rPr>
          <w:rFonts w:eastAsia="Calibri"/>
          <w:color w:val="000000" w:themeColor="text1"/>
          <w:lang w:val="pl-PL"/>
        </w:rPr>
        <w:t>Dostępność zasobów</w:t>
      </w:r>
      <w:bookmarkEnd w:id="86"/>
    </w:p>
    <w:p w14:paraId="0171B775" w14:textId="77777777" w:rsidR="001C57A3" w:rsidRPr="004E62AC" w:rsidRDefault="001C57A3" w:rsidP="001C57A3">
      <w:pPr>
        <w:pStyle w:val="EYHeading4"/>
        <w:rPr>
          <w:rFonts w:eastAsia="Calibri"/>
          <w:lang w:val="pl-PL"/>
        </w:rPr>
      </w:pPr>
      <w:bookmarkStart w:id="87" w:name="_Toc486537927"/>
      <w:r w:rsidRPr="004E62AC">
        <w:rPr>
          <w:rFonts w:eastAsia="Calibri"/>
          <w:lang w:val="pl-PL"/>
        </w:rPr>
        <w:t>Świadczeniodawcy (infrastruktura)</w:t>
      </w:r>
      <w:bookmarkEnd w:id="87"/>
    </w:p>
    <w:p w14:paraId="0297B21D" w14:textId="26D56C28" w:rsidR="003B447A" w:rsidRPr="00AE7042" w:rsidRDefault="003B447A" w:rsidP="00AE7042">
      <w:pPr>
        <w:pStyle w:val="EYBulletedList1"/>
        <w:numPr>
          <w:ilvl w:val="0"/>
          <w:numId w:val="0"/>
        </w:numPr>
        <w:jc w:val="both"/>
        <w:rPr>
          <w:rFonts w:eastAsia="Calibri"/>
          <w:sz w:val="22"/>
          <w:lang w:val="pl-PL"/>
        </w:rPr>
      </w:pPr>
      <w:r w:rsidRPr="00AE7042">
        <w:rPr>
          <w:rFonts w:eastAsia="Calibri"/>
          <w:sz w:val="22"/>
          <w:lang w:val="pl-PL"/>
        </w:rPr>
        <w:t xml:space="preserve">Z danych </w:t>
      </w:r>
      <w:r w:rsidR="006F520B" w:rsidRPr="00AE7042">
        <w:rPr>
          <w:rFonts w:eastAsia="Calibri"/>
          <w:sz w:val="22"/>
          <w:lang w:val="pl-PL"/>
        </w:rPr>
        <w:t xml:space="preserve">Konsultanta Krajowego w dziedzinie nefrologii </w:t>
      </w:r>
      <w:r w:rsidR="006F520B">
        <w:rPr>
          <w:rFonts w:eastAsia="Calibri"/>
          <w:sz w:val="22"/>
          <w:lang w:val="pl-PL"/>
        </w:rPr>
        <w:t xml:space="preserve">oraz z danych </w:t>
      </w:r>
      <w:r w:rsidRPr="00AE7042">
        <w:rPr>
          <w:rFonts w:eastAsia="Calibri"/>
          <w:sz w:val="22"/>
          <w:lang w:val="pl-PL"/>
        </w:rPr>
        <w:t>Sekcji Nefrologicznej Izby Gospodarczej Medycyna Polska</w:t>
      </w:r>
      <w:r w:rsidR="003A357B" w:rsidRPr="00AE7042">
        <w:rPr>
          <w:rFonts w:eastAsia="Calibri"/>
          <w:sz w:val="22"/>
          <w:lang w:val="pl-PL"/>
        </w:rPr>
        <w:t xml:space="preserve"> (Nefron)</w:t>
      </w:r>
      <w:r w:rsidR="006F520B">
        <w:rPr>
          <w:rFonts w:eastAsia="Calibri"/>
          <w:sz w:val="22"/>
          <w:lang w:val="pl-PL"/>
        </w:rPr>
        <w:t xml:space="preserve"> </w:t>
      </w:r>
      <w:r w:rsidRPr="00AE7042">
        <w:rPr>
          <w:rFonts w:eastAsia="Calibri"/>
          <w:sz w:val="22"/>
          <w:lang w:val="pl-PL"/>
        </w:rPr>
        <w:t>wynika, że w 201</w:t>
      </w:r>
      <w:r w:rsidR="003A357B" w:rsidRPr="00AE7042">
        <w:rPr>
          <w:rFonts w:eastAsia="Calibri"/>
          <w:sz w:val="22"/>
          <w:lang w:val="pl-PL"/>
        </w:rPr>
        <w:t>5</w:t>
      </w:r>
      <w:r w:rsidRPr="00AE7042">
        <w:rPr>
          <w:rFonts w:eastAsia="Calibri"/>
          <w:sz w:val="22"/>
          <w:lang w:val="pl-PL"/>
        </w:rPr>
        <w:t xml:space="preserve"> roku funkcjonowało w Polsce</w:t>
      </w:r>
      <w:r w:rsidR="00A81925" w:rsidRPr="002C201D">
        <w:rPr>
          <w:rFonts w:eastAsia="Calibri"/>
          <w:vertAlign w:val="superscript"/>
        </w:rPr>
        <w:footnoteReference w:id="60"/>
      </w:r>
      <w:r w:rsidRPr="00AE7042">
        <w:rPr>
          <w:rFonts w:eastAsia="Calibri"/>
          <w:sz w:val="22"/>
          <w:lang w:val="pl-PL"/>
        </w:rPr>
        <w:t>:</w:t>
      </w:r>
    </w:p>
    <w:p w14:paraId="1098B544" w14:textId="77777777" w:rsidR="0053605C" w:rsidRPr="004E62AC" w:rsidRDefault="003B447A" w:rsidP="00F84B72">
      <w:pPr>
        <w:pStyle w:val="EYBulletedList1"/>
        <w:numPr>
          <w:ilvl w:val="0"/>
          <w:numId w:val="11"/>
        </w:numPr>
        <w:ind w:left="289" w:hanging="289"/>
        <w:jc w:val="both"/>
        <w:rPr>
          <w:rFonts w:eastAsia="Calibri"/>
          <w:lang w:val="pl-PL"/>
        </w:rPr>
      </w:pPr>
      <w:r w:rsidRPr="004E62AC">
        <w:rPr>
          <w:rFonts w:eastAsia="Calibri"/>
          <w:sz w:val="22"/>
          <w:lang w:val="pl-PL"/>
        </w:rPr>
        <w:t>81 oddziałów nefrologicznyc</w:t>
      </w:r>
      <w:r w:rsidR="003A357B">
        <w:rPr>
          <w:rFonts w:eastAsia="Calibri"/>
          <w:sz w:val="22"/>
          <w:lang w:val="pl-PL"/>
        </w:rPr>
        <w:t>h</w:t>
      </w:r>
    </w:p>
    <w:p w14:paraId="4D6EAF8E" w14:textId="77777777" w:rsidR="003B447A" w:rsidRPr="004E62AC" w:rsidRDefault="003B447A" w:rsidP="00F84B72">
      <w:pPr>
        <w:pStyle w:val="EYBulletedList1"/>
        <w:numPr>
          <w:ilvl w:val="0"/>
          <w:numId w:val="11"/>
        </w:numPr>
        <w:ind w:left="289" w:hanging="289"/>
        <w:jc w:val="both"/>
        <w:rPr>
          <w:rFonts w:eastAsia="Calibri"/>
          <w:lang w:val="pl-PL"/>
        </w:rPr>
      </w:pPr>
      <w:r w:rsidRPr="004E62AC">
        <w:rPr>
          <w:rFonts w:eastAsia="Calibri"/>
          <w:sz w:val="22"/>
          <w:lang w:val="pl-PL"/>
        </w:rPr>
        <w:t>310 poradni nefrologicznych</w:t>
      </w:r>
    </w:p>
    <w:p w14:paraId="2A51AE78" w14:textId="77777777" w:rsidR="003B447A" w:rsidRDefault="003B447A" w:rsidP="00F84B72">
      <w:pPr>
        <w:pStyle w:val="EYBulletedList1"/>
        <w:numPr>
          <w:ilvl w:val="0"/>
          <w:numId w:val="11"/>
        </w:numPr>
        <w:ind w:left="289" w:hanging="289"/>
        <w:jc w:val="both"/>
        <w:rPr>
          <w:rFonts w:eastAsia="Calibri"/>
          <w:lang w:val="pl-PL"/>
        </w:rPr>
      </w:pPr>
      <w:r w:rsidRPr="004E62AC">
        <w:rPr>
          <w:rFonts w:eastAsia="Calibri"/>
          <w:sz w:val="22"/>
          <w:lang w:val="pl-PL"/>
        </w:rPr>
        <w:t>28</w:t>
      </w:r>
      <w:r w:rsidR="00A81925">
        <w:rPr>
          <w:rFonts w:eastAsia="Calibri"/>
          <w:sz w:val="22"/>
          <w:lang w:val="pl-PL"/>
        </w:rPr>
        <w:t>4</w:t>
      </w:r>
      <w:r w:rsidRPr="004E62AC">
        <w:rPr>
          <w:rFonts w:eastAsia="Calibri"/>
          <w:sz w:val="22"/>
          <w:lang w:val="pl-PL"/>
        </w:rPr>
        <w:t xml:space="preserve"> stacje dializ</w:t>
      </w:r>
    </w:p>
    <w:p w14:paraId="1A9F0584" w14:textId="77777777" w:rsidR="0053605C" w:rsidRPr="004E62AC" w:rsidRDefault="0053605C" w:rsidP="004E62AC">
      <w:pPr>
        <w:pStyle w:val="EYBulletedList1"/>
        <w:numPr>
          <w:ilvl w:val="0"/>
          <w:numId w:val="0"/>
        </w:numPr>
        <w:jc w:val="both"/>
        <w:rPr>
          <w:rFonts w:eastAsia="Calibri"/>
          <w:b/>
          <w:sz w:val="22"/>
          <w:lang w:val="pl-PL"/>
        </w:rPr>
      </w:pPr>
      <w:r w:rsidRPr="004E62AC">
        <w:rPr>
          <w:rFonts w:eastAsia="Calibri"/>
          <w:b/>
          <w:sz w:val="22"/>
          <w:lang w:val="pl-PL"/>
        </w:rPr>
        <w:t>Oddziały nefrologiczne</w:t>
      </w:r>
    </w:p>
    <w:p w14:paraId="61A35D36" w14:textId="77777777" w:rsidR="000B66B4" w:rsidRPr="00A81925" w:rsidRDefault="00C42037" w:rsidP="004E62AC">
      <w:pPr>
        <w:pStyle w:val="EYBulletedList1"/>
        <w:numPr>
          <w:ilvl w:val="0"/>
          <w:numId w:val="0"/>
        </w:numPr>
        <w:jc w:val="both"/>
        <w:rPr>
          <w:rFonts w:eastAsia="Calibri"/>
          <w:sz w:val="22"/>
          <w:lang w:val="pl-PL"/>
        </w:rPr>
      </w:pPr>
      <w:r>
        <w:rPr>
          <w:rFonts w:eastAsia="Calibri"/>
          <w:sz w:val="22"/>
          <w:lang w:val="pl-PL"/>
        </w:rPr>
        <w:t>O</w:t>
      </w:r>
      <w:r w:rsidR="0053605C">
        <w:rPr>
          <w:rFonts w:eastAsia="Calibri"/>
          <w:sz w:val="22"/>
          <w:lang w:val="pl-PL"/>
        </w:rPr>
        <w:t>ddział</w:t>
      </w:r>
      <w:r>
        <w:rPr>
          <w:rFonts w:eastAsia="Calibri"/>
          <w:sz w:val="22"/>
          <w:lang w:val="pl-PL"/>
        </w:rPr>
        <w:t>y</w:t>
      </w:r>
      <w:r w:rsidR="0053605C">
        <w:rPr>
          <w:rFonts w:eastAsia="Calibri"/>
          <w:sz w:val="22"/>
          <w:lang w:val="pl-PL"/>
        </w:rPr>
        <w:t xml:space="preserve"> nefrologiczn</w:t>
      </w:r>
      <w:r>
        <w:rPr>
          <w:rFonts w:eastAsia="Calibri"/>
          <w:sz w:val="22"/>
          <w:lang w:val="pl-PL"/>
        </w:rPr>
        <w:t>e</w:t>
      </w:r>
      <w:r w:rsidR="0053605C">
        <w:rPr>
          <w:rFonts w:eastAsia="Calibri"/>
          <w:sz w:val="22"/>
          <w:lang w:val="pl-PL"/>
        </w:rPr>
        <w:t xml:space="preserve"> </w:t>
      </w:r>
      <w:r>
        <w:rPr>
          <w:rFonts w:eastAsia="Calibri"/>
          <w:sz w:val="22"/>
          <w:lang w:val="pl-PL"/>
        </w:rPr>
        <w:t xml:space="preserve">w 2015 r. dysponowały </w:t>
      </w:r>
      <w:r w:rsidR="0053605C">
        <w:rPr>
          <w:rFonts w:eastAsia="Calibri"/>
          <w:sz w:val="22"/>
          <w:lang w:val="pl-PL"/>
        </w:rPr>
        <w:t>1624 łóżka</w:t>
      </w:r>
      <w:r>
        <w:rPr>
          <w:rFonts w:eastAsia="Calibri"/>
          <w:sz w:val="22"/>
          <w:lang w:val="pl-PL"/>
        </w:rPr>
        <w:t>mi</w:t>
      </w:r>
      <w:r w:rsidR="0053605C">
        <w:rPr>
          <w:rFonts w:eastAsia="Calibri"/>
          <w:sz w:val="22"/>
          <w:lang w:val="pl-PL"/>
        </w:rPr>
        <w:t xml:space="preserve">. Najwięcej łóżek </w:t>
      </w:r>
      <w:r>
        <w:rPr>
          <w:rFonts w:eastAsia="Calibri"/>
          <w:sz w:val="22"/>
          <w:lang w:val="pl-PL"/>
        </w:rPr>
        <w:t xml:space="preserve">znajdowało </w:t>
      </w:r>
      <w:r w:rsidR="0053605C">
        <w:rPr>
          <w:rFonts w:eastAsia="Calibri"/>
          <w:sz w:val="22"/>
          <w:lang w:val="pl-PL"/>
        </w:rPr>
        <w:t xml:space="preserve">się w województwie </w:t>
      </w:r>
      <w:r w:rsidR="00F6048C">
        <w:rPr>
          <w:rFonts w:eastAsia="Calibri"/>
          <w:sz w:val="22"/>
          <w:lang w:val="pl-PL"/>
        </w:rPr>
        <w:t xml:space="preserve">śląskim </w:t>
      </w:r>
      <w:r w:rsidR="0053605C">
        <w:rPr>
          <w:rFonts w:eastAsia="Calibri"/>
          <w:sz w:val="22"/>
          <w:lang w:val="pl-PL"/>
        </w:rPr>
        <w:t xml:space="preserve">– 292 łóżka, a następnie w województwie </w:t>
      </w:r>
      <w:r w:rsidR="00F6048C">
        <w:rPr>
          <w:rFonts w:eastAsia="Calibri"/>
          <w:sz w:val="22"/>
          <w:lang w:val="pl-PL"/>
        </w:rPr>
        <w:t>m</w:t>
      </w:r>
      <w:r w:rsidR="0053605C">
        <w:rPr>
          <w:rFonts w:eastAsia="Calibri"/>
          <w:sz w:val="22"/>
          <w:lang w:val="pl-PL"/>
        </w:rPr>
        <w:t xml:space="preserve">azowieckim – 278 łóżek, w województwie </w:t>
      </w:r>
      <w:r w:rsidR="00F6048C">
        <w:rPr>
          <w:rFonts w:eastAsia="Calibri"/>
          <w:sz w:val="22"/>
          <w:lang w:val="pl-PL"/>
        </w:rPr>
        <w:t>ł</w:t>
      </w:r>
      <w:r w:rsidR="0053605C">
        <w:rPr>
          <w:rFonts w:eastAsia="Calibri"/>
          <w:sz w:val="22"/>
          <w:lang w:val="pl-PL"/>
        </w:rPr>
        <w:t xml:space="preserve">ódzkim – 150 łóżek i w województwie </w:t>
      </w:r>
      <w:r w:rsidR="00F6048C">
        <w:rPr>
          <w:rFonts w:eastAsia="Calibri"/>
          <w:sz w:val="22"/>
          <w:lang w:val="pl-PL"/>
        </w:rPr>
        <w:t>m</w:t>
      </w:r>
      <w:r w:rsidR="0053605C">
        <w:rPr>
          <w:rFonts w:eastAsia="Calibri"/>
          <w:sz w:val="22"/>
          <w:lang w:val="pl-PL"/>
        </w:rPr>
        <w:t>ałopolski</w:t>
      </w:r>
      <w:r w:rsidR="002C201D">
        <w:rPr>
          <w:rFonts w:eastAsia="Calibri"/>
          <w:sz w:val="22"/>
          <w:lang w:val="pl-PL"/>
        </w:rPr>
        <w:t xml:space="preserve">m – 140 łóżek, co oznacza, że </w:t>
      </w:r>
      <w:r w:rsidR="0053605C">
        <w:rPr>
          <w:rFonts w:eastAsia="Calibri"/>
          <w:sz w:val="22"/>
          <w:lang w:val="pl-PL"/>
        </w:rPr>
        <w:t>4</w:t>
      </w:r>
      <w:r>
        <w:rPr>
          <w:rFonts w:eastAsia="Calibri"/>
          <w:sz w:val="22"/>
          <w:lang w:val="pl-PL"/>
        </w:rPr>
        <w:t> </w:t>
      </w:r>
      <w:r w:rsidR="0053605C">
        <w:rPr>
          <w:rFonts w:eastAsia="Calibri"/>
          <w:sz w:val="22"/>
          <w:lang w:val="pl-PL"/>
        </w:rPr>
        <w:t>województwa</w:t>
      </w:r>
      <w:r>
        <w:rPr>
          <w:rFonts w:eastAsia="Calibri"/>
          <w:sz w:val="22"/>
          <w:lang w:val="pl-PL"/>
        </w:rPr>
        <w:t xml:space="preserve"> miały większościowy udział we wszystkich łóżkach nefrologicznych</w:t>
      </w:r>
      <w:r w:rsidR="0053605C">
        <w:rPr>
          <w:rFonts w:eastAsia="Calibri"/>
          <w:sz w:val="22"/>
          <w:lang w:val="pl-PL"/>
        </w:rPr>
        <w:t xml:space="preserve">. Najmniej łóżek </w:t>
      </w:r>
      <w:r>
        <w:rPr>
          <w:rFonts w:eastAsia="Calibri"/>
          <w:sz w:val="22"/>
          <w:lang w:val="pl-PL"/>
        </w:rPr>
        <w:t xml:space="preserve">było </w:t>
      </w:r>
      <w:r w:rsidR="0053605C">
        <w:rPr>
          <w:rFonts w:eastAsia="Calibri"/>
          <w:sz w:val="22"/>
          <w:lang w:val="pl-PL"/>
        </w:rPr>
        <w:t xml:space="preserve">w województwie </w:t>
      </w:r>
      <w:r w:rsidR="00F6048C">
        <w:rPr>
          <w:rFonts w:eastAsia="Calibri"/>
          <w:sz w:val="22"/>
          <w:lang w:val="pl-PL"/>
        </w:rPr>
        <w:t>o</w:t>
      </w:r>
      <w:r w:rsidR="0053605C">
        <w:rPr>
          <w:rFonts w:eastAsia="Calibri"/>
          <w:sz w:val="22"/>
          <w:lang w:val="pl-PL"/>
        </w:rPr>
        <w:t xml:space="preserve">polskim – 25 łóżek, a następnie w województwie </w:t>
      </w:r>
      <w:r w:rsidR="00F6048C">
        <w:rPr>
          <w:rFonts w:eastAsia="Calibri"/>
          <w:sz w:val="22"/>
          <w:lang w:val="pl-PL"/>
        </w:rPr>
        <w:t>l</w:t>
      </w:r>
      <w:r w:rsidR="0053605C">
        <w:rPr>
          <w:rFonts w:eastAsia="Calibri"/>
          <w:sz w:val="22"/>
          <w:lang w:val="pl-PL"/>
        </w:rPr>
        <w:t xml:space="preserve">ubuskim – 29 łóżek i w </w:t>
      </w:r>
      <w:r w:rsidR="0053605C">
        <w:rPr>
          <w:rFonts w:eastAsia="Calibri"/>
          <w:sz w:val="22"/>
          <w:lang w:val="pl-PL"/>
        </w:rPr>
        <w:lastRenderedPageBreak/>
        <w:t xml:space="preserve">województwie </w:t>
      </w:r>
      <w:r w:rsidR="00F6048C">
        <w:rPr>
          <w:rFonts w:eastAsia="Calibri"/>
          <w:sz w:val="22"/>
          <w:lang w:val="pl-PL"/>
        </w:rPr>
        <w:t>warmińsko</w:t>
      </w:r>
      <w:r w:rsidR="0053605C">
        <w:rPr>
          <w:rFonts w:eastAsia="Calibri"/>
          <w:sz w:val="22"/>
          <w:lang w:val="pl-PL"/>
        </w:rPr>
        <w:t>-</w:t>
      </w:r>
      <w:r w:rsidR="00F6048C">
        <w:rPr>
          <w:rFonts w:eastAsia="Calibri"/>
          <w:sz w:val="22"/>
          <w:lang w:val="pl-PL"/>
        </w:rPr>
        <w:t xml:space="preserve">mazurskim </w:t>
      </w:r>
      <w:r w:rsidR="0053605C">
        <w:rPr>
          <w:rFonts w:eastAsia="Calibri"/>
          <w:sz w:val="22"/>
          <w:lang w:val="pl-PL"/>
        </w:rPr>
        <w:t xml:space="preserve">– 30 łóżek. Średnio na jednym oddziale </w:t>
      </w:r>
      <w:r>
        <w:rPr>
          <w:rFonts w:eastAsia="Calibri"/>
          <w:sz w:val="22"/>
          <w:lang w:val="pl-PL"/>
        </w:rPr>
        <w:t xml:space="preserve">znajdowało </w:t>
      </w:r>
      <w:r w:rsidR="0053605C">
        <w:rPr>
          <w:rFonts w:eastAsia="Calibri"/>
          <w:sz w:val="22"/>
          <w:lang w:val="pl-PL"/>
        </w:rPr>
        <w:t>się 20 łóżek nefrologicznych.</w:t>
      </w:r>
      <w:r w:rsidR="00A81925">
        <w:rPr>
          <w:rFonts w:eastAsia="Calibri"/>
          <w:sz w:val="22"/>
          <w:lang w:val="pl-PL"/>
        </w:rPr>
        <w:t xml:space="preserve"> </w:t>
      </w:r>
      <w:r w:rsidR="00F6048C">
        <w:rPr>
          <w:rFonts w:eastAsia="Calibri"/>
          <w:sz w:val="22"/>
          <w:lang w:val="pl-PL"/>
        </w:rPr>
        <w:t xml:space="preserve">Trzy </w:t>
      </w:r>
      <w:r w:rsidR="0053605C" w:rsidRPr="0053605C">
        <w:rPr>
          <w:rFonts w:eastAsia="Calibri"/>
          <w:sz w:val="22"/>
          <w:lang w:val="pl-PL"/>
        </w:rPr>
        <w:t xml:space="preserve">oddziały </w:t>
      </w:r>
      <w:r>
        <w:rPr>
          <w:rFonts w:eastAsia="Calibri"/>
          <w:sz w:val="22"/>
          <w:lang w:val="pl-PL"/>
        </w:rPr>
        <w:t>miały</w:t>
      </w:r>
      <w:r w:rsidRPr="0053605C">
        <w:rPr>
          <w:rFonts w:eastAsia="Calibri"/>
          <w:sz w:val="22"/>
          <w:lang w:val="pl-PL"/>
        </w:rPr>
        <w:t xml:space="preserve"> </w:t>
      </w:r>
      <w:r w:rsidR="0053605C" w:rsidRPr="0053605C">
        <w:rPr>
          <w:rFonts w:eastAsia="Calibri"/>
          <w:sz w:val="22"/>
          <w:lang w:val="pl-PL"/>
        </w:rPr>
        <w:t xml:space="preserve">charakter </w:t>
      </w:r>
      <w:proofErr w:type="spellStart"/>
      <w:r w:rsidR="0053605C" w:rsidRPr="0053605C">
        <w:rPr>
          <w:rFonts w:eastAsia="Calibri"/>
          <w:sz w:val="22"/>
          <w:lang w:val="pl-PL"/>
        </w:rPr>
        <w:t>ponadpowiatowy</w:t>
      </w:r>
      <w:proofErr w:type="spellEnd"/>
      <w:r w:rsidR="0053605C" w:rsidRPr="0053605C">
        <w:rPr>
          <w:rFonts w:eastAsia="Calibri"/>
          <w:sz w:val="22"/>
          <w:lang w:val="pl-PL"/>
        </w:rPr>
        <w:t xml:space="preserve"> (powyżej 60% pacjentów spoza powiatu), tylko 1 oddział </w:t>
      </w:r>
      <w:r w:rsidR="0053605C">
        <w:rPr>
          <w:rFonts w:eastAsia="Calibri"/>
          <w:sz w:val="22"/>
          <w:lang w:val="pl-PL"/>
        </w:rPr>
        <w:t>m</w:t>
      </w:r>
      <w:r>
        <w:rPr>
          <w:rFonts w:eastAsia="Calibri"/>
          <w:sz w:val="22"/>
          <w:lang w:val="pl-PL"/>
        </w:rPr>
        <w:t>iał</w:t>
      </w:r>
      <w:r w:rsidR="0053605C" w:rsidRPr="0053605C">
        <w:rPr>
          <w:rFonts w:eastAsia="Calibri"/>
          <w:sz w:val="22"/>
          <w:lang w:val="pl-PL"/>
        </w:rPr>
        <w:t xml:space="preserve"> charakter ponadregionalny (ponad 30% pacjentów spoza województwa). Pozostałe </w:t>
      </w:r>
      <w:r w:rsidR="0053605C">
        <w:rPr>
          <w:rFonts w:eastAsia="Calibri"/>
          <w:sz w:val="22"/>
          <w:lang w:val="pl-PL"/>
        </w:rPr>
        <w:t xml:space="preserve">oddziały </w:t>
      </w:r>
      <w:r>
        <w:rPr>
          <w:rFonts w:eastAsia="Calibri"/>
          <w:sz w:val="22"/>
          <w:lang w:val="pl-PL"/>
        </w:rPr>
        <w:t xml:space="preserve">zabezpieczały </w:t>
      </w:r>
      <w:r w:rsidR="0053605C">
        <w:rPr>
          <w:rFonts w:eastAsia="Calibri"/>
          <w:sz w:val="22"/>
          <w:lang w:val="pl-PL"/>
        </w:rPr>
        <w:t>pacjentów z własnego powiatu.</w:t>
      </w:r>
      <w:r w:rsidR="00A81925">
        <w:rPr>
          <w:rFonts w:eastAsia="Calibri"/>
          <w:sz w:val="22"/>
          <w:lang w:val="pl-PL"/>
        </w:rPr>
        <w:t xml:space="preserve"> </w:t>
      </w:r>
      <w:r w:rsidR="000B66B4">
        <w:rPr>
          <w:rFonts w:eastAsia="Calibri"/>
          <w:sz w:val="22"/>
          <w:lang w:val="pl-PL"/>
        </w:rPr>
        <w:t xml:space="preserve">Część świadczeń związanych z leczeniem </w:t>
      </w:r>
      <w:r w:rsidR="002C201D">
        <w:rPr>
          <w:rFonts w:eastAsia="Calibri"/>
          <w:sz w:val="22"/>
          <w:lang w:val="pl-PL"/>
        </w:rPr>
        <w:t>chorych na przewlekłą</w:t>
      </w:r>
      <w:r w:rsidR="000B66B4">
        <w:rPr>
          <w:rFonts w:eastAsia="Calibri"/>
          <w:sz w:val="22"/>
          <w:lang w:val="pl-PL"/>
        </w:rPr>
        <w:t xml:space="preserve"> chorobę nerek </w:t>
      </w:r>
      <w:r>
        <w:rPr>
          <w:rFonts w:eastAsia="Calibri"/>
          <w:sz w:val="22"/>
          <w:lang w:val="pl-PL"/>
        </w:rPr>
        <w:t xml:space="preserve">było </w:t>
      </w:r>
      <w:r w:rsidR="000B66B4">
        <w:rPr>
          <w:rFonts w:eastAsia="Calibri"/>
          <w:sz w:val="22"/>
          <w:lang w:val="pl-PL"/>
        </w:rPr>
        <w:t>realizowanych przez inne oddziały szpitalne. W szczególności istotną rolę odgrywa</w:t>
      </w:r>
      <w:r>
        <w:rPr>
          <w:rFonts w:eastAsia="Calibri"/>
          <w:sz w:val="22"/>
          <w:lang w:val="pl-PL"/>
        </w:rPr>
        <w:t>ły</w:t>
      </w:r>
      <w:r w:rsidR="000B66B4">
        <w:rPr>
          <w:rFonts w:eastAsia="Calibri"/>
          <w:sz w:val="22"/>
          <w:lang w:val="pl-PL"/>
        </w:rPr>
        <w:t xml:space="preserve"> oddziały chirurgii ogólnej i chirurgii naczyniowej, na których tworzone są dostępy naczyniowe i dostępy otrzewnowe u pacjentów przygotowujących się do leczenia nerkozastępczego</w:t>
      </w:r>
      <w:r w:rsidR="00A81925" w:rsidRPr="00AE7042">
        <w:rPr>
          <w:rStyle w:val="Odwoanieprzypisudolnego"/>
          <w:rFonts w:eastAsia="Calibri"/>
          <w:sz w:val="22"/>
          <w:szCs w:val="22"/>
          <w:lang w:val="pl-PL"/>
        </w:rPr>
        <w:footnoteReference w:id="61"/>
      </w:r>
      <w:r w:rsidR="000B66B4" w:rsidRPr="00F6048C">
        <w:rPr>
          <w:rFonts w:eastAsia="Calibri"/>
          <w:sz w:val="22"/>
          <w:szCs w:val="22"/>
          <w:lang w:val="pl-PL"/>
        </w:rPr>
        <w:t>.</w:t>
      </w:r>
    </w:p>
    <w:p w14:paraId="533BCCAA" w14:textId="77777777" w:rsidR="0053605C" w:rsidRPr="004E62AC" w:rsidRDefault="0053605C" w:rsidP="004E62AC">
      <w:pPr>
        <w:pStyle w:val="EYBulletedList1"/>
        <w:numPr>
          <w:ilvl w:val="0"/>
          <w:numId w:val="0"/>
        </w:numPr>
        <w:jc w:val="both"/>
        <w:rPr>
          <w:rFonts w:eastAsia="Calibri"/>
          <w:b/>
          <w:lang w:val="pl-PL"/>
        </w:rPr>
      </w:pPr>
      <w:r w:rsidRPr="004E62AC">
        <w:rPr>
          <w:rFonts w:eastAsia="Calibri"/>
          <w:b/>
          <w:sz w:val="22"/>
          <w:lang w:val="pl-PL"/>
        </w:rPr>
        <w:t>Poradnie nefrologiczne</w:t>
      </w:r>
    </w:p>
    <w:p w14:paraId="38276CC0" w14:textId="77777777" w:rsidR="00487C5A" w:rsidRDefault="009F3AD8" w:rsidP="004E62AC">
      <w:pPr>
        <w:pStyle w:val="EYBulletedList1"/>
        <w:numPr>
          <w:ilvl w:val="0"/>
          <w:numId w:val="0"/>
        </w:numPr>
        <w:jc w:val="both"/>
        <w:rPr>
          <w:rFonts w:eastAsia="Calibri"/>
          <w:sz w:val="22"/>
          <w:lang w:val="pl-PL"/>
        </w:rPr>
      </w:pPr>
      <w:r>
        <w:rPr>
          <w:rFonts w:eastAsia="Calibri"/>
          <w:sz w:val="22"/>
          <w:lang w:val="pl-PL"/>
        </w:rPr>
        <w:t xml:space="preserve">Najwięcej poradni </w:t>
      </w:r>
      <w:r w:rsidR="00C42037">
        <w:rPr>
          <w:rFonts w:eastAsia="Calibri"/>
          <w:sz w:val="22"/>
          <w:lang w:val="pl-PL"/>
        </w:rPr>
        <w:t xml:space="preserve">w 2015 r. mieściło się </w:t>
      </w:r>
      <w:r>
        <w:rPr>
          <w:rFonts w:eastAsia="Calibri"/>
          <w:sz w:val="22"/>
          <w:lang w:val="pl-PL"/>
        </w:rPr>
        <w:t xml:space="preserve">w województwie </w:t>
      </w:r>
      <w:r w:rsidR="00F6048C">
        <w:rPr>
          <w:rFonts w:eastAsia="Calibri"/>
          <w:sz w:val="22"/>
          <w:lang w:val="pl-PL"/>
        </w:rPr>
        <w:t xml:space="preserve">śląskim </w:t>
      </w:r>
      <w:r>
        <w:rPr>
          <w:rFonts w:eastAsia="Calibri"/>
          <w:sz w:val="22"/>
          <w:lang w:val="pl-PL"/>
        </w:rPr>
        <w:t xml:space="preserve">– 50, a następnie w województwie </w:t>
      </w:r>
      <w:r w:rsidR="00F6048C">
        <w:rPr>
          <w:rFonts w:eastAsia="Calibri"/>
          <w:sz w:val="22"/>
          <w:lang w:val="pl-PL"/>
        </w:rPr>
        <w:t xml:space="preserve">mazowieckim </w:t>
      </w:r>
      <w:r>
        <w:rPr>
          <w:rFonts w:eastAsia="Calibri"/>
          <w:sz w:val="22"/>
          <w:lang w:val="pl-PL"/>
        </w:rPr>
        <w:t xml:space="preserve">– 39 i w województwie </w:t>
      </w:r>
      <w:r w:rsidR="00F6048C">
        <w:rPr>
          <w:rFonts w:eastAsia="Calibri"/>
          <w:sz w:val="22"/>
          <w:lang w:val="pl-PL"/>
        </w:rPr>
        <w:t xml:space="preserve">wielkopolskim </w:t>
      </w:r>
      <w:r>
        <w:rPr>
          <w:rFonts w:eastAsia="Calibri"/>
          <w:sz w:val="22"/>
          <w:lang w:val="pl-PL"/>
        </w:rPr>
        <w:t xml:space="preserve">– 29 poradni. Najmniej poradni </w:t>
      </w:r>
      <w:r w:rsidR="00C42037">
        <w:rPr>
          <w:rFonts w:eastAsia="Calibri"/>
          <w:sz w:val="22"/>
          <w:lang w:val="pl-PL"/>
        </w:rPr>
        <w:t xml:space="preserve">znajdywało </w:t>
      </w:r>
      <w:r>
        <w:rPr>
          <w:rFonts w:eastAsia="Calibri"/>
          <w:sz w:val="22"/>
          <w:lang w:val="pl-PL"/>
        </w:rPr>
        <w:t xml:space="preserve">się w województwie </w:t>
      </w:r>
      <w:r w:rsidR="00F6048C">
        <w:rPr>
          <w:rFonts w:eastAsia="Calibri"/>
          <w:sz w:val="22"/>
          <w:lang w:val="pl-PL"/>
        </w:rPr>
        <w:t xml:space="preserve">opolskim </w:t>
      </w:r>
      <w:r>
        <w:rPr>
          <w:rFonts w:eastAsia="Calibri"/>
          <w:sz w:val="22"/>
          <w:lang w:val="pl-PL"/>
        </w:rPr>
        <w:t xml:space="preserve">– 6 oraz w województwach </w:t>
      </w:r>
      <w:r w:rsidR="00F6048C">
        <w:rPr>
          <w:rFonts w:eastAsia="Calibri"/>
          <w:sz w:val="22"/>
          <w:lang w:val="pl-PL"/>
        </w:rPr>
        <w:t xml:space="preserve">lubuskim </w:t>
      </w:r>
      <w:r w:rsidR="00741CA2">
        <w:rPr>
          <w:rFonts w:eastAsia="Calibri"/>
          <w:sz w:val="22"/>
          <w:lang w:val="pl-PL"/>
        </w:rPr>
        <w:t xml:space="preserve">i </w:t>
      </w:r>
      <w:r w:rsidR="00F6048C">
        <w:rPr>
          <w:rFonts w:eastAsia="Calibri"/>
          <w:sz w:val="22"/>
          <w:lang w:val="pl-PL"/>
        </w:rPr>
        <w:t>w</w:t>
      </w:r>
      <w:r w:rsidR="00741CA2">
        <w:rPr>
          <w:rFonts w:eastAsia="Calibri"/>
          <w:sz w:val="22"/>
          <w:lang w:val="pl-PL"/>
        </w:rPr>
        <w:t>armińsko-</w:t>
      </w:r>
      <w:r w:rsidR="00F6048C">
        <w:rPr>
          <w:rFonts w:eastAsia="Calibri"/>
          <w:sz w:val="22"/>
          <w:lang w:val="pl-PL"/>
        </w:rPr>
        <w:t>m</w:t>
      </w:r>
      <w:r w:rsidR="00741CA2">
        <w:rPr>
          <w:rFonts w:eastAsia="Calibri"/>
          <w:sz w:val="22"/>
          <w:lang w:val="pl-PL"/>
        </w:rPr>
        <w:t xml:space="preserve">azurskim po 10 poradni </w:t>
      </w:r>
      <w:r>
        <w:rPr>
          <w:rFonts w:eastAsia="Calibri"/>
          <w:sz w:val="22"/>
          <w:lang w:val="pl-PL"/>
        </w:rPr>
        <w:t xml:space="preserve">i w województwach </w:t>
      </w:r>
      <w:r w:rsidR="00F6048C">
        <w:rPr>
          <w:rFonts w:eastAsia="Calibri"/>
          <w:sz w:val="22"/>
          <w:lang w:val="pl-PL"/>
        </w:rPr>
        <w:t>świętokrzyskim</w:t>
      </w:r>
      <w:r>
        <w:rPr>
          <w:rFonts w:eastAsia="Calibri"/>
          <w:sz w:val="22"/>
          <w:lang w:val="pl-PL"/>
        </w:rPr>
        <w:t xml:space="preserve">, </w:t>
      </w:r>
      <w:r w:rsidR="00F6048C">
        <w:rPr>
          <w:rFonts w:eastAsia="Calibri"/>
          <w:sz w:val="22"/>
          <w:lang w:val="pl-PL"/>
        </w:rPr>
        <w:t>l</w:t>
      </w:r>
      <w:r>
        <w:rPr>
          <w:rFonts w:eastAsia="Calibri"/>
          <w:sz w:val="22"/>
          <w:lang w:val="pl-PL"/>
        </w:rPr>
        <w:t xml:space="preserve">ubelskim, </w:t>
      </w:r>
      <w:r w:rsidR="00C42037">
        <w:rPr>
          <w:rFonts w:eastAsia="Calibri"/>
          <w:sz w:val="22"/>
          <w:lang w:val="pl-PL"/>
        </w:rPr>
        <w:t xml:space="preserve">podlaskim </w:t>
      </w:r>
      <w:r>
        <w:rPr>
          <w:rFonts w:eastAsia="Calibri"/>
          <w:sz w:val="22"/>
          <w:lang w:val="pl-PL"/>
        </w:rPr>
        <w:t>po 11 poradni</w:t>
      </w:r>
      <w:r w:rsidR="00741CA2">
        <w:rPr>
          <w:rFonts w:eastAsia="Calibri"/>
          <w:sz w:val="22"/>
          <w:lang w:val="pl-PL"/>
        </w:rPr>
        <w:t>.</w:t>
      </w:r>
      <w:r w:rsidR="009847B3">
        <w:rPr>
          <w:rFonts w:eastAsia="Calibri"/>
          <w:sz w:val="22"/>
          <w:lang w:val="pl-PL"/>
        </w:rPr>
        <w:t xml:space="preserve"> W niektórych województwach </w:t>
      </w:r>
      <w:r w:rsidR="00C42037">
        <w:rPr>
          <w:rFonts w:eastAsia="Calibri"/>
          <w:sz w:val="22"/>
          <w:lang w:val="pl-PL"/>
        </w:rPr>
        <w:t xml:space="preserve">wystąpił </w:t>
      </w:r>
      <w:r w:rsidR="009847B3">
        <w:rPr>
          <w:rFonts w:eastAsia="Calibri"/>
          <w:sz w:val="22"/>
          <w:lang w:val="pl-PL"/>
        </w:rPr>
        <w:t xml:space="preserve">problem z dostępnością poradni, np. w województwie </w:t>
      </w:r>
      <w:r w:rsidR="00C42037">
        <w:rPr>
          <w:rFonts w:eastAsia="Calibri"/>
          <w:sz w:val="22"/>
          <w:lang w:val="pl-PL"/>
        </w:rPr>
        <w:t>l</w:t>
      </w:r>
      <w:r w:rsidR="009847B3">
        <w:rPr>
          <w:rFonts w:eastAsia="Calibri"/>
          <w:sz w:val="22"/>
          <w:lang w:val="pl-PL"/>
        </w:rPr>
        <w:t xml:space="preserve">ubelskim na 100 tys. mieszkańców </w:t>
      </w:r>
      <w:r w:rsidR="00C42037">
        <w:rPr>
          <w:rFonts w:eastAsia="Calibri"/>
          <w:sz w:val="22"/>
          <w:lang w:val="pl-PL"/>
        </w:rPr>
        <w:t xml:space="preserve">w 2015 r. </w:t>
      </w:r>
      <w:r w:rsidR="009847B3">
        <w:rPr>
          <w:rFonts w:eastAsia="Calibri"/>
          <w:sz w:val="22"/>
          <w:lang w:val="pl-PL"/>
        </w:rPr>
        <w:t>przypad</w:t>
      </w:r>
      <w:r w:rsidR="00C42037">
        <w:rPr>
          <w:rFonts w:eastAsia="Calibri"/>
          <w:sz w:val="22"/>
          <w:lang w:val="pl-PL"/>
        </w:rPr>
        <w:t>ło</w:t>
      </w:r>
      <w:r w:rsidR="009847B3">
        <w:rPr>
          <w:rFonts w:eastAsia="Calibri"/>
          <w:sz w:val="22"/>
          <w:lang w:val="pl-PL"/>
        </w:rPr>
        <w:t xml:space="preserve"> 0,51 poradni nefrologicznej, podczas gdy średnia dla Polski to 0,8.</w:t>
      </w:r>
    </w:p>
    <w:p w14:paraId="5B83D72B" w14:textId="64D961B6" w:rsidR="00373904" w:rsidRPr="00AE7042" w:rsidRDefault="00373904" w:rsidP="00373904">
      <w:pPr>
        <w:pStyle w:val="Legenda"/>
        <w:keepNext/>
        <w:rPr>
          <w:b/>
          <w:i w:val="0"/>
          <w:color w:val="auto"/>
          <w:lang w:val="pl-PL"/>
        </w:rPr>
      </w:pPr>
      <w:bookmarkStart w:id="88" w:name="_Toc486537978"/>
      <w:r w:rsidRPr="004E62AC">
        <w:rPr>
          <w:b/>
          <w:i w:val="0"/>
          <w:color w:val="auto"/>
          <w:lang w:val="pl-PL"/>
        </w:rPr>
        <w:t xml:space="preserve">Tabela </w:t>
      </w:r>
      <w:r w:rsidRPr="004E62AC">
        <w:rPr>
          <w:b/>
          <w:i w:val="0"/>
          <w:color w:val="auto"/>
          <w:lang w:val="pl-PL"/>
        </w:rPr>
        <w:fldChar w:fldCharType="begin"/>
      </w:r>
      <w:r w:rsidRPr="004E62AC">
        <w:rPr>
          <w:b/>
          <w:i w:val="0"/>
          <w:color w:val="auto"/>
          <w:lang w:val="pl-PL"/>
        </w:rPr>
        <w:instrText xml:space="preserve"> SEQ Tabela \* ARABIC </w:instrText>
      </w:r>
      <w:r w:rsidRPr="004E62AC">
        <w:rPr>
          <w:b/>
          <w:i w:val="0"/>
          <w:color w:val="auto"/>
          <w:lang w:val="pl-PL"/>
        </w:rPr>
        <w:fldChar w:fldCharType="separate"/>
      </w:r>
      <w:r w:rsidR="005C7285">
        <w:rPr>
          <w:b/>
          <w:i w:val="0"/>
          <w:noProof/>
          <w:color w:val="auto"/>
          <w:lang w:val="pl-PL"/>
        </w:rPr>
        <w:t>15</w:t>
      </w:r>
      <w:r w:rsidRPr="004E62AC">
        <w:rPr>
          <w:b/>
          <w:i w:val="0"/>
          <w:color w:val="auto"/>
          <w:lang w:val="pl-PL"/>
        </w:rPr>
        <w:fldChar w:fldCharType="end"/>
      </w:r>
      <w:r>
        <w:rPr>
          <w:b/>
          <w:i w:val="0"/>
          <w:color w:val="auto"/>
          <w:lang w:val="pl-PL"/>
        </w:rPr>
        <w:t xml:space="preserve"> Poradnie nefrologiczne w Polsce</w:t>
      </w:r>
      <w:bookmarkEnd w:id="88"/>
    </w:p>
    <w:tbl>
      <w:tblPr>
        <w:tblStyle w:val="Tabela-Siatka"/>
        <w:tblW w:w="9029"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5"/>
        <w:gridCol w:w="1761"/>
        <w:gridCol w:w="1761"/>
        <w:gridCol w:w="1761"/>
        <w:gridCol w:w="1761"/>
      </w:tblGrid>
      <w:tr w:rsidR="00373904" w:rsidRPr="00C57815" w14:paraId="50674106" w14:textId="77777777" w:rsidTr="00FB74AE">
        <w:trPr>
          <w:trHeight w:val="900"/>
        </w:trPr>
        <w:tc>
          <w:tcPr>
            <w:tcW w:w="1985" w:type="dxa"/>
            <w:tcBorders>
              <w:bottom w:val="single" w:sz="4" w:space="0" w:color="808080" w:themeColor="background1" w:themeShade="80"/>
            </w:tcBorders>
            <w:shd w:val="clear" w:color="auto" w:fill="FFE600"/>
            <w:vAlign w:val="center"/>
          </w:tcPr>
          <w:p w14:paraId="6BE26928" w14:textId="77777777" w:rsidR="00373904" w:rsidRPr="0002448D" w:rsidRDefault="00373904" w:rsidP="00373904">
            <w:pPr>
              <w:spacing w:before="60" w:after="60" w:line="240" w:lineRule="auto"/>
              <w:jc w:val="left"/>
              <w:rPr>
                <w:rFonts w:eastAsia="Calibri"/>
                <w:b/>
                <w:sz w:val="18"/>
                <w:szCs w:val="18"/>
                <w:lang w:val="pl-PL"/>
              </w:rPr>
            </w:pPr>
          </w:p>
        </w:tc>
        <w:tc>
          <w:tcPr>
            <w:tcW w:w="1761" w:type="dxa"/>
            <w:tcBorders>
              <w:bottom w:val="single" w:sz="4" w:space="0" w:color="808080" w:themeColor="background1" w:themeShade="80"/>
            </w:tcBorders>
            <w:shd w:val="clear" w:color="auto" w:fill="FFE600"/>
            <w:vAlign w:val="center"/>
          </w:tcPr>
          <w:p w14:paraId="67E909E2" w14:textId="77777777" w:rsidR="00373904" w:rsidRPr="00373904" w:rsidRDefault="00373904" w:rsidP="00373904">
            <w:pPr>
              <w:widowControl/>
              <w:autoSpaceDE/>
              <w:autoSpaceDN/>
              <w:adjustRightInd/>
              <w:spacing w:before="0" w:after="0" w:line="240" w:lineRule="auto"/>
              <w:jc w:val="center"/>
              <w:textAlignment w:val="bottom"/>
              <w:rPr>
                <w:rFonts w:cs="Arial"/>
                <w:b/>
                <w:sz w:val="18"/>
                <w:szCs w:val="22"/>
                <w:lang w:val="pl-PL" w:eastAsia="pl-PL"/>
              </w:rPr>
            </w:pPr>
            <w:r w:rsidRPr="00373904">
              <w:rPr>
                <w:rFonts w:eastAsia="MS Gothic" w:cs="Arial"/>
                <w:b/>
                <w:bCs/>
                <w:kern w:val="24"/>
                <w:sz w:val="18"/>
                <w:szCs w:val="22"/>
                <w:lang w:val="pl-PL" w:eastAsia="pl-PL"/>
              </w:rPr>
              <w:t xml:space="preserve">Liczba </w:t>
            </w:r>
            <w:r>
              <w:rPr>
                <w:rFonts w:eastAsia="MS Gothic" w:cs="Arial"/>
                <w:b/>
                <w:bCs/>
                <w:kern w:val="24"/>
                <w:sz w:val="18"/>
                <w:szCs w:val="22"/>
                <w:lang w:val="pl-PL" w:eastAsia="pl-PL"/>
              </w:rPr>
              <w:t>p</w:t>
            </w:r>
            <w:r w:rsidRPr="00373904">
              <w:rPr>
                <w:rFonts w:eastAsia="MS Gothic" w:cs="Arial"/>
                <w:b/>
                <w:bCs/>
                <w:kern w:val="24"/>
                <w:sz w:val="18"/>
                <w:szCs w:val="22"/>
                <w:lang w:val="pl-PL" w:eastAsia="pl-PL"/>
              </w:rPr>
              <w:t>oradni</w:t>
            </w:r>
          </w:p>
        </w:tc>
        <w:tc>
          <w:tcPr>
            <w:tcW w:w="1761" w:type="dxa"/>
            <w:tcBorders>
              <w:bottom w:val="single" w:sz="4" w:space="0" w:color="808080" w:themeColor="background1" w:themeShade="80"/>
            </w:tcBorders>
            <w:shd w:val="clear" w:color="auto" w:fill="FFE600"/>
            <w:vAlign w:val="center"/>
          </w:tcPr>
          <w:p w14:paraId="722D01BC" w14:textId="77777777" w:rsidR="00373904" w:rsidRPr="00373904" w:rsidRDefault="00373904" w:rsidP="00373904">
            <w:pPr>
              <w:widowControl/>
              <w:autoSpaceDE/>
              <w:autoSpaceDN/>
              <w:adjustRightInd/>
              <w:spacing w:before="0" w:after="0" w:line="240" w:lineRule="auto"/>
              <w:jc w:val="center"/>
              <w:textAlignment w:val="bottom"/>
              <w:rPr>
                <w:rFonts w:cs="Arial"/>
                <w:b/>
                <w:sz w:val="18"/>
                <w:szCs w:val="22"/>
                <w:lang w:val="pl-PL" w:eastAsia="pl-PL"/>
              </w:rPr>
            </w:pPr>
            <w:r w:rsidRPr="00373904">
              <w:rPr>
                <w:rFonts w:eastAsia="MS Gothic" w:cs="Arial"/>
                <w:b/>
                <w:bCs/>
                <w:kern w:val="24"/>
                <w:sz w:val="18"/>
                <w:szCs w:val="22"/>
                <w:lang w:val="pl-PL" w:eastAsia="pl-PL"/>
              </w:rPr>
              <w:t xml:space="preserve">Liczba </w:t>
            </w:r>
            <w:r>
              <w:rPr>
                <w:rFonts w:eastAsia="MS Gothic" w:cs="Arial"/>
                <w:b/>
                <w:bCs/>
                <w:kern w:val="24"/>
                <w:sz w:val="18"/>
                <w:szCs w:val="22"/>
                <w:lang w:val="pl-PL" w:eastAsia="pl-PL"/>
              </w:rPr>
              <w:t>p</w:t>
            </w:r>
            <w:r w:rsidRPr="00373904">
              <w:rPr>
                <w:rFonts w:eastAsia="MS Gothic" w:cs="Arial"/>
                <w:b/>
                <w:bCs/>
                <w:kern w:val="24"/>
                <w:sz w:val="18"/>
                <w:szCs w:val="22"/>
                <w:lang w:val="pl-PL" w:eastAsia="pl-PL"/>
              </w:rPr>
              <w:t>oradni na 100 tys.</w:t>
            </w:r>
            <w:r>
              <w:rPr>
                <w:rFonts w:eastAsia="MS Gothic" w:cs="Arial"/>
                <w:b/>
                <w:bCs/>
                <w:kern w:val="24"/>
                <w:sz w:val="18"/>
                <w:szCs w:val="22"/>
                <w:lang w:val="pl-PL" w:eastAsia="pl-PL"/>
              </w:rPr>
              <w:t xml:space="preserve"> mieszkańców</w:t>
            </w:r>
          </w:p>
        </w:tc>
        <w:tc>
          <w:tcPr>
            <w:tcW w:w="1761" w:type="dxa"/>
            <w:tcBorders>
              <w:bottom w:val="single" w:sz="4" w:space="0" w:color="808080" w:themeColor="background1" w:themeShade="80"/>
            </w:tcBorders>
            <w:shd w:val="clear" w:color="auto" w:fill="FFE600"/>
            <w:vAlign w:val="center"/>
          </w:tcPr>
          <w:p w14:paraId="43A872F2" w14:textId="77777777" w:rsidR="00373904" w:rsidRPr="00373904" w:rsidRDefault="00373904" w:rsidP="00373904">
            <w:pPr>
              <w:widowControl/>
              <w:autoSpaceDE/>
              <w:autoSpaceDN/>
              <w:adjustRightInd/>
              <w:spacing w:before="0" w:after="0" w:line="240" w:lineRule="auto"/>
              <w:jc w:val="center"/>
              <w:textAlignment w:val="bottom"/>
              <w:rPr>
                <w:rFonts w:cs="Arial"/>
                <w:b/>
                <w:sz w:val="18"/>
                <w:szCs w:val="22"/>
                <w:lang w:val="pl-PL" w:eastAsia="pl-PL"/>
              </w:rPr>
            </w:pPr>
            <w:r w:rsidRPr="00373904">
              <w:rPr>
                <w:rFonts w:eastAsia="MS Gothic" w:cs="Arial"/>
                <w:b/>
                <w:bCs/>
                <w:kern w:val="24"/>
                <w:sz w:val="18"/>
                <w:szCs w:val="22"/>
                <w:lang w:val="pl-PL" w:eastAsia="pl-PL"/>
              </w:rPr>
              <w:t>Kontrakt na 2015 (PLN)</w:t>
            </w:r>
          </w:p>
        </w:tc>
        <w:tc>
          <w:tcPr>
            <w:tcW w:w="1761" w:type="dxa"/>
            <w:tcBorders>
              <w:bottom w:val="single" w:sz="4" w:space="0" w:color="808080" w:themeColor="background1" w:themeShade="80"/>
            </w:tcBorders>
            <w:shd w:val="clear" w:color="auto" w:fill="FFE600"/>
            <w:vAlign w:val="center"/>
          </w:tcPr>
          <w:p w14:paraId="304E8C40" w14:textId="77777777" w:rsidR="00373904" w:rsidRPr="00373904" w:rsidRDefault="00373904" w:rsidP="00373904">
            <w:pPr>
              <w:widowControl/>
              <w:autoSpaceDE/>
              <w:autoSpaceDN/>
              <w:adjustRightInd/>
              <w:spacing w:before="0" w:after="0" w:line="240" w:lineRule="auto"/>
              <w:jc w:val="center"/>
              <w:textAlignment w:val="bottom"/>
              <w:rPr>
                <w:rFonts w:cs="Arial"/>
                <w:b/>
                <w:sz w:val="18"/>
                <w:szCs w:val="22"/>
                <w:lang w:val="pl-PL" w:eastAsia="pl-PL"/>
              </w:rPr>
            </w:pPr>
            <w:r w:rsidRPr="00373904">
              <w:rPr>
                <w:rFonts w:eastAsia="MS Gothic" w:cs="Arial"/>
                <w:b/>
                <w:bCs/>
                <w:kern w:val="24"/>
                <w:sz w:val="18"/>
                <w:szCs w:val="22"/>
                <w:lang w:val="pl-PL" w:eastAsia="pl-PL"/>
              </w:rPr>
              <w:t>Kontrakt na mieszkańca na rok (PLN)</w:t>
            </w:r>
          </w:p>
        </w:tc>
      </w:tr>
      <w:tr w:rsidR="00373904" w:rsidRPr="00373904" w14:paraId="6D7266B2" w14:textId="77777777" w:rsidTr="00FB74AE">
        <w:tc>
          <w:tcPr>
            <w:tcW w:w="1985" w:type="dxa"/>
            <w:tcBorders>
              <w:top w:val="single" w:sz="4" w:space="0" w:color="808080" w:themeColor="background1" w:themeShade="80"/>
              <w:bottom w:val="nil"/>
              <w:right w:val="single" w:sz="4" w:space="0" w:color="808080" w:themeColor="background1" w:themeShade="80"/>
            </w:tcBorders>
            <w:shd w:val="clear" w:color="auto" w:fill="F2F2F2" w:themeFill="background1" w:themeFillShade="F2"/>
            <w:vAlign w:val="center"/>
          </w:tcPr>
          <w:p w14:paraId="243671DA" w14:textId="77777777" w:rsidR="00373904" w:rsidRPr="00373904" w:rsidRDefault="00373904" w:rsidP="00373904">
            <w:pPr>
              <w:pStyle w:val="EYBulletedList1"/>
              <w:numPr>
                <w:ilvl w:val="0"/>
                <w:numId w:val="0"/>
              </w:numPr>
              <w:spacing w:beforeLines="20" w:before="48" w:afterLines="20" w:after="48"/>
              <w:rPr>
                <w:rFonts w:eastAsia="Calibri"/>
                <w:b/>
                <w:sz w:val="18"/>
                <w:szCs w:val="18"/>
                <w:lang w:val="pl-PL"/>
              </w:rPr>
            </w:pPr>
            <w:r w:rsidRPr="00373904">
              <w:rPr>
                <w:rFonts w:eastAsia="Calibri"/>
                <w:b/>
                <w:sz w:val="18"/>
                <w:szCs w:val="18"/>
                <w:lang w:val="pl-PL"/>
              </w:rPr>
              <w:t>Polska</w:t>
            </w:r>
          </w:p>
        </w:tc>
        <w:tc>
          <w:tcPr>
            <w:tcW w:w="176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auto"/>
            <w:vAlign w:val="bottom"/>
          </w:tcPr>
          <w:p w14:paraId="57BA7689" w14:textId="77777777" w:rsidR="00373904" w:rsidRPr="00373904" w:rsidRDefault="00373904" w:rsidP="00373904">
            <w:pPr>
              <w:pStyle w:val="EYBulletedList1"/>
              <w:numPr>
                <w:ilvl w:val="0"/>
                <w:numId w:val="0"/>
              </w:numPr>
              <w:spacing w:beforeLines="20" w:before="48" w:afterLines="20" w:after="48"/>
              <w:jc w:val="center"/>
              <w:rPr>
                <w:rFonts w:eastAsia="Calibri"/>
                <w:b/>
                <w:sz w:val="18"/>
                <w:szCs w:val="18"/>
                <w:lang w:val="pl-PL"/>
              </w:rPr>
            </w:pPr>
            <w:r w:rsidRPr="00373904">
              <w:rPr>
                <w:rFonts w:eastAsia="Calibri"/>
                <w:b/>
                <w:sz w:val="18"/>
                <w:szCs w:val="18"/>
                <w:lang w:val="pl-PL"/>
              </w:rPr>
              <w:t>310</w:t>
            </w:r>
          </w:p>
        </w:tc>
        <w:tc>
          <w:tcPr>
            <w:tcW w:w="176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auto"/>
            <w:vAlign w:val="bottom"/>
          </w:tcPr>
          <w:p w14:paraId="27624468" w14:textId="77777777" w:rsidR="00373904" w:rsidRPr="00373904" w:rsidRDefault="00373904" w:rsidP="00373904">
            <w:pPr>
              <w:pStyle w:val="EYBulletedList1"/>
              <w:numPr>
                <w:ilvl w:val="0"/>
                <w:numId w:val="0"/>
              </w:numPr>
              <w:spacing w:beforeLines="20" w:before="48" w:afterLines="20" w:after="48"/>
              <w:jc w:val="center"/>
              <w:rPr>
                <w:rFonts w:eastAsia="Calibri"/>
                <w:b/>
                <w:sz w:val="18"/>
                <w:szCs w:val="18"/>
                <w:lang w:val="pl-PL"/>
              </w:rPr>
            </w:pPr>
            <w:r w:rsidRPr="00373904">
              <w:rPr>
                <w:rFonts w:eastAsia="Calibri"/>
                <w:b/>
                <w:sz w:val="18"/>
                <w:szCs w:val="18"/>
                <w:lang w:val="pl-PL"/>
              </w:rPr>
              <w:t>0,81</w:t>
            </w:r>
          </w:p>
        </w:tc>
        <w:tc>
          <w:tcPr>
            <w:tcW w:w="1761"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auto"/>
            <w:vAlign w:val="bottom"/>
          </w:tcPr>
          <w:p w14:paraId="7FE70D10" w14:textId="77777777" w:rsidR="00373904" w:rsidRPr="00373904" w:rsidRDefault="00373904" w:rsidP="00373904">
            <w:pPr>
              <w:pStyle w:val="EYBulletedList1"/>
              <w:numPr>
                <w:ilvl w:val="0"/>
                <w:numId w:val="0"/>
              </w:numPr>
              <w:spacing w:beforeLines="20" w:before="48" w:afterLines="20" w:after="48"/>
              <w:jc w:val="center"/>
              <w:rPr>
                <w:rFonts w:eastAsia="Calibri"/>
                <w:b/>
                <w:sz w:val="18"/>
                <w:szCs w:val="18"/>
                <w:lang w:val="pl-PL"/>
              </w:rPr>
            </w:pPr>
            <w:r w:rsidRPr="00373904">
              <w:rPr>
                <w:rFonts w:eastAsia="Calibri"/>
                <w:b/>
                <w:sz w:val="18"/>
                <w:szCs w:val="18"/>
                <w:lang w:val="pl-PL"/>
              </w:rPr>
              <w:t>31 325 384</w:t>
            </w:r>
          </w:p>
        </w:tc>
        <w:tc>
          <w:tcPr>
            <w:tcW w:w="1761" w:type="dxa"/>
            <w:tcBorders>
              <w:top w:val="single" w:sz="4" w:space="0" w:color="808080" w:themeColor="background1" w:themeShade="80"/>
              <w:left w:val="single" w:sz="4" w:space="0" w:color="808080" w:themeColor="background1" w:themeShade="80"/>
              <w:bottom w:val="nil"/>
            </w:tcBorders>
            <w:shd w:val="clear" w:color="auto" w:fill="auto"/>
            <w:vAlign w:val="bottom"/>
          </w:tcPr>
          <w:p w14:paraId="5DED235C" w14:textId="77777777" w:rsidR="00373904" w:rsidRPr="00373904" w:rsidRDefault="00373904" w:rsidP="00373904">
            <w:pPr>
              <w:pStyle w:val="EYBulletedList1"/>
              <w:numPr>
                <w:ilvl w:val="0"/>
                <w:numId w:val="0"/>
              </w:numPr>
              <w:spacing w:beforeLines="20" w:before="48" w:afterLines="20" w:after="48"/>
              <w:jc w:val="center"/>
              <w:rPr>
                <w:rFonts w:eastAsia="Calibri"/>
                <w:b/>
                <w:sz w:val="18"/>
                <w:szCs w:val="18"/>
                <w:lang w:val="pl-PL"/>
              </w:rPr>
            </w:pPr>
            <w:r w:rsidRPr="00373904">
              <w:rPr>
                <w:rFonts w:eastAsia="Calibri"/>
                <w:b/>
                <w:sz w:val="18"/>
                <w:szCs w:val="18"/>
                <w:lang w:val="pl-PL"/>
              </w:rPr>
              <w:t>0,81</w:t>
            </w:r>
          </w:p>
        </w:tc>
      </w:tr>
      <w:tr w:rsidR="00373904" w:rsidRPr="0002448D" w14:paraId="5D9AC25F"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58DAB88B"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dolnośląskie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59E68C54"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16</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CA25891"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0,55</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B2C9BA6"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1 601 788</w:t>
            </w:r>
          </w:p>
        </w:tc>
        <w:tc>
          <w:tcPr>
            <w:tcW w:w="1761" w:type="dxa"/>
            <w:tcBorders>
              <w:top w:val="nil"/>
              <w:left w:val="single" w:sz="4" w:space="0" w:color="808080" w:themeColor="background1" w:themeShade="80"/>
              <w:bottom w:val="nil"/>
            </w:tcBorders>
            <w:shd w:val="clear" w:color="auto" w:fill="auto"/>
            <w:vAlign w:val="bottom"/>
          </w:tcPr>
          <w:p w14:paraId="795C1B93"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0,55</w:t>
            </w:r>
          </w:p>
        </w:tc>
      </w:tr>
      <w:tr w:rsidR="00373904" w:rsidRPr="00BC4357" w14:paraId="07A0F07B"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151FACFA"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kujawsko-pomorskie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B3BACF6"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16</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B6757C6"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0,76</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069F0AE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1 242 896</w:t>
            </w:r>
          </w:p>
        </w:tc>
        <w:tc>
          <w:tcPr>
            <w:tcW w:w="1761" w:type="dxa"/>
            <w:tcBorders>
              <w:top w:val="nil"/>
              <w:left w:val="single" w:sz="4" w:space="0" w:color="808080" w:themeColor="background1" w:themeShade="80"/>
              <w:bottom w:val="nil"/>
            </w:tcBorders>
            <w:shd w:val="clear" w:color="auto" w:fill="auto"/>
            <w:vAlign w:val="bottom"/>
          </w:tcPr>
          <w:p w14:paraId="1E719D01"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0,59</w:t>
            </w:r>
          </w:p>
        </w:tc>
      </w:tr>
      <w:tr w:rsidR="00373904" w:rsidRPr="007C21AC" w14:paraId="2DD84F23"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44364C3D"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lubelskie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217AAC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11</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10FFA6B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0,51</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AAB1E8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1 094 874</w:t>
            </w:r>
          </w:p>
        </w:tc>
        <w:tc>
          <w:tcPr>
            <w:tcW w:w="1761" w:type="dxa"/>
            <w:tcBorders>
              <w:top w:val="nil"/>
              <w:left w:val="single" w:sz="4" w:space="0" w:color="808080" w:themeColor="background1" w:themeShade="80"/>
              <w:bottom w:val="nil"/>
            </w:tcBorders>
            <w:shd w:val="clear" w:color="auto" w:fill="auto"/>
            <w:vAlign w:val="bottom"/>
          </w:tcPr>
          <w:p w14:paraId="51BF2AC3"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0,51</w:t>
            </w:r>
          </w:p>
        </w:tc>
      </w:tr>
      <w:tr w:rsidR="00373904" w:rsidRPr="00BC4357" w14:paraId="7D2721CE"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5E60B274"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lubuskie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EAAE39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10</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CE9A3FF"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0,98</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6A453172"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1 039 686</w:t>
            </w:r>
          </w:p>
        </w:tc>
        <w:tc>
          <w:tcPr>
            <w:tcW w:w="1761" w:type="dxa"/>
            <w:tcBorders>
              <w:top w:val="nil"/>
              <w:left w:val="single" w:sz="4" w:space="0" w:color="808080" w:themeColor="background1" w:themeShade="80"/>
              <w:bottom w:val="nil"/>
            </w:tcBorders>
            <w:shd w:val="clear" w:color="auto" w:fill="auto"/>
            <w:vAlign w:val="bottom"/>
          </w:tcPr>
          <w:p w14:paraId="7B86CB03"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1,02</w:t>
            </w:r>
          </w:p>
        </w:tc>
      </w:tr>
      <w:tr w:rsidR="00373904" w:rsidRPr="00BC4357" w14:paraId="2BAFB9BD"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6148D571"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łódzkie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423148C3"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21</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7C12C37"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0,84</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48CA2FD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2 210 986</w:t>
            </w:r>
          </w:p>
        </w:tc>
        <w:tc>
          <w:tcPr>
            <w:tcW w:w="1761" w:type="dxa"/>
            <w:tcBorders>
              <w:top w:val="nil"/>
              <w:left w:val="single" w:sz="4" w:space="0" w:color="808080" w:themeColor="background1" w:themeShade="80"/>
              <w:bottom w:val="nil"/>
            </w:tcBorders>
            <w:shd w:val="clear" w:color="auto" w:fill="auto"/>
            <w:vAlign w:val="bottom"/>
          </w:tcPr>
          <w:p w14:paraId="0F9A40AC"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0,88</w:t>
            </w:r>
          </w:p>
        </w:tc>
      </w:tr>
      <w:tr w:rsidR="00373904" w:rsidRPr="00BC4357" w14:paraId="6AA3D0CE"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0F75446E"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małopolskie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20CEEF5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26</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DC11CCC"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0,77</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47A946E"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2 872 539</w:t>
            </w:r>
          </w:p>
        </w:tc>
        <w:tc>
          <w:tcPr>
            <w:tcW w:w="1761" w:type="dxa"/>
            <w:tcBorders>
              <w:top w:val="nil"/>
              <w:left w:val="single" w:sz="4" w:space="0" w:color="808080" w:themeColor="background1" w:themeShade="80"/>
              <w:bottom w:val="nil"/>
            </w:tcBorders>
            <w:shd w:val="clear" w:color="auto" w:fill="auto"/>
            <w:vAlign w:val="bottom"/>
          </w:tcPr>
          <w:p w14:paraId="5D9CFD07"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0,85</w:t>
            </w:r>
          </w:p>
        </w:tc>
      </w:tr>
      <w:tr w:rsidR="00373904" w:rsidRPr="00BC4357" w14:paraId="26C62BC1"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298E51D1"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mazowieckie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53E596BE"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39</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29D4CC5E"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0,73</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63B107B7"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5 197 792</w:t>
            </w:r>
          </w:p>
        </w:tc>
        <w:tc>
          <w:tcPr>
            <w:tcW w:w="1761" w:type="dxa"/>
            <w:tcBorders>
              <w:top w:val="nil"/>
              <w:left w:val="single" w:sz="4" w:space="0" w:color="808080" w:themeColor="background1" w:themeShade="80"/>
              <w:bottom w:val="nil"/>
            </w:tcBorders>
            <w:shd w:val="clear" w:color="auto" w:fill="auto"/>
            <w:vAlign w:val="bottom"/>
          </w:tcPr>
          <w:p w14:paraId="1981E1F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0,98</w:t>
            </w:r>
          </w:p>
        </w:tc>
      </w:tr>
      <w:tr w:rsidR="00373904" w:rsidRPr="00BC4357" w14:paraId="520FE5D2"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1B8943FD"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kern w:val="24"/>
                <w:sz w:val="18"/>
                <w:szCs w:val="18"/>
                <w:lang w:val="pl-PL" w:eastAsia="pl-PL"/>
              </w:rPr>
              <w:t>opolskie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C01EF36"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6</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7142F48F"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0,60</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bottom"/>
          </w:tcPr>
          <w:p w14:paraId="30ACFB3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397 882</w:t>
            </w:r>
          </w:p>
        </w:tc>
        <w:tc>
          <w:tcPr>
            <w:tcW w:w="1761" w:type="dxa"/>
            <w:tcBorders>
              <w:top w:val="nil"/>
              <w:left w:val="single" w:sz="4" w:space="0" w:color="808080" w:themeColor="background1" w:themeShade="80"/>
              <w:bottom w:val="nil"/>
            </w:tcBorders>
            <w:shd w:val="clear" w:color="auto" w:fill="auto"/>
            <w:vAlign w:val="bottom"/>
          </w:tcPr>
          <w:p w14:paraId="772E9B7C"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0,40</w:t>
            </w:r>
          </w:p>
        </w:tc>
      </w:tr>
      <w:tr w:rsidR="00373904" w:rsidRPr="00BC4357" w14:paraId="46C815BD"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46F09A35"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kern w:val="24"/>
                <w:sz w:val="18"/>
                <w:szCs w:val="18"/>
                <w:lang w:val="pl-PL" w:eastAsia="pl-PL"/>
              </w:rPr>
              <w:t>podkarpackie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758B2D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25</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40D1451C"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1,17</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375511B3"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1 857 368</w:t>
            </w:r>
          </w:p>
        </w:tc>
        <w:tc>
          <w:tcPr>
            <w:tcW w:w="1761" w:type="dxa"/>
            <w:tcBorders>
              <w:top w:val="nil"/>
              <w:left w:val="single" w:sz="4" w:space="0" w:color="808080" w:themeColor="background1" w:themeShade="80"/>
              <w:bottom w:val="nil"/>
            </w:tcBorders>
            <w:shd w:val="clear" w:color="auto" w:fill="auto"/>
            <w:vAlign w:val="center"/>
          </w:tcPr>
          <w:p w14:paraId="5594C14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0,87</w:t>
            </w:r>
          </w:p>
        </w:tc>
      </w:tr>
      <w:tr w:rsidR="00373904" w:rsidRPr="00BC4357" w14:paraId="1F4BFFD7"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04F6D60C"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kern w:val="24"/>
                <w:sz w:val="18"/>
                <w:szCs w:val="18"/>
                <w:lang w:val="pl-PL" w:eastAsia="pl-PL"/>
              </w:rPr>
              <w:t>podlaskie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0C7E2A6F"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11</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5F2E8DE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0,92</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806F63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1 204 302</w:t>
            </w:r>
          </w:p>
        </w:tc>
        <w:tc>
          <w:tcPr>
            <w:tcW w:w="1761" w:type="dxa"/>
            <w:tcBorders>
              <w:top w:val="nil"/>
              <w:left w:val="single" w:sz="4" w:space="0" w:color="808080" w:themeColor="background1" w:themeShade="80"/>
              <w:bottom w:val="nil"/>
            </w:tcBorders>
            <w:shd w:val="clear" w:color="auto" w:fill="auto"/>
            <w:vAlign w:val="center"/>
          </w:tcPr>
          <w:p w14:paraId="5E207C43"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1,01</w:t>
            </w:r>
          </w:p>
        </w:tc>
      </w:tr>
      <w:tr w:rsidR="00373904" w:rsidRPr="00BC4357" w14:paraId="5939BD05"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41A2AB5B"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kern w:val="24"/>
                <w:sz w:val="18"/>
                <w:szCs w:val="18"/>
                <w:lang w:val="pl-PL" w:eastAsia="pl-PL"/>
              </w:rPr>
              <w:t>pomorskie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8948A24"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14</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58456E1"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0,61</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105BA60"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2 624 785</w:t>
            </w:r>
          </w:p>
        </w:tc>
        <w:tc>
          <w:tcPr>
            <w:tcW w:w="1761" w:type="dxa"/>
            <w:tcBorders>
              <w:top w:val="nil"/>
              <w:left w:val="single" w:sz="4" w:space="0" w:color="808080" w:themeColor="background1" w:themeShade="80"/>
              <w:bottom w:val="nil"/>
            </w:tcBorders>
            <w:shd w:val="clear" w:color="auto" w:fill="auto"/>
            <w:vAlign w:val="center"/>
          </w:tcPr>
          <w:p w14:paraId="23CBB70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1,14</w:t>
            </w:r>
          </w:p>
        </w:tc>
      </w:tr>
      <w:tr w:rsidR="00373904" w:rsidRPr="00BC4357" w14:paraId="319927B8"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1715401C"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kern w:val="24"/>
                <w:sz w:val="18"/>
                <w:szCs w:val="18"/>
                <w:lang w:val="pl-PL" w:eastAsia="pl-PL"/>
              </w:rPr>
              <w:t>śląskie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25493D1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50</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05B9DA80"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1,09</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460021FD"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4 081 498</w:t>
            </w:r>
          </w:p>
        </w:tc>
        <w:tc>
          <w:tcPr>
            <w:tcW w:w="1761" w:type="dxa"/>
            <w:tcBorders>
              <w:top w:val="nil"/>
              <w:left w:val="single" w:sz="4" w:space="0" w:color="808080" w:themeColor="background1" w:themeShade="80"/>
              <w:bottom w:val="nil"/>
            </w:tcBorders>
            <w:shd w:val="clear" w:color="auto" w:fill="auto"/>
            <w:vAlign w:val="center"/>
          </w:tcPr>
          <w:p w14:paraId="0E24B750"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0,89</w:t>
            </w:r>
          </w:p>
        </w:tc>
      </w:tr>
      <w:tr w:rsidR="00373904" w:rsidRPr="00BC4357" w14:paraId="08B820D9"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5B958566"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kern w:val="24"/>
                <w:sz w:val="18"/>
                <w:szCs w:val="18"/>
                <w:lang w:val="pl-PL" w:eastAsia="pl-PL"/>
              </w:rPr>
              <w:t>świętokrzyskie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22B85CE"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11</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2AB8EAF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0,87</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31A788C"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636 282</w:t>
            </w:r>
          </w:p>
        </w:tc>
        <w:tc>
          <w:tcPr>
            <w:tcW w:w="1761" w:type="dxa"/>
            <w:tcBorders>
              <w:top w:val="nil"/>
              <w:left w:val="single" w:sz="4" w:space="0" w:color="808080" w:themeColor="background1" w:themeShade="80"/>
              <w:bottom w:val="nil"/>
            </w:tcBorders>
            <w:shd w:val="clear" w:color="auto" w:fill="auto"/>
            <w:vAlign w:val="center"/>
          </w:tcPr>
          <w:p w14:paraId="798F478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0,50</w:t>
            </w:r>
          </w:p>
        </w:tc>
      </w:tr>
      <w:tr w:rsidR="00373904" w:rsidRPr="00BC4357" w14:paraId="3C2CD10B"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1AD0E2CD"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warmińsko-mazurskie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5A998E44"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10</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4FF39E9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0,69</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50180988"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955 267</w:t>
            </w:r>
          </w:p>
        </w:tc>
        <w:tc>
          <w:tcPr>
            <w:tcW w:w="1761" w:type="dxa"/>
            <w:tcBorders>
              <w:top w:val="nil"/>
              <w:left w:val="single" w:sz="4" w:space="0" w:color="808080" w:themeColor="background1" w:themeShade="80"/>
              <w:bottom w:val="nil"/>
            </w:tcBorders>
            <w:shd w:val="clear" w:color="auto" w:fill="auto"/>
            <w:vAlign w:val="center"/>
          </w:tcPr>
          <w:p w14:paraId="453277D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0,66</w:t>
            </w:r>
          </w:p>
        </w:tc>
      </w:tr>
      <w:tr w:rsidR="00373904" w:rsidRPr="00BC4357" w14:paraId="7C4C7C2F"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1E5C6D96" w14:textId="77777777" w:rsidR="00373904" w:rsidRPr="00F73264" w:rsidRDefault="00373904" w:rsidP="00373904">
            <w:pPr>
              <w:widowControl/>
              <w:autoSpaceDE/>
              <w:autoSpaceDN/>
              <w:adjustRightInd/>
              <w:spacing w:before="0" w:after="0" w:line="240" w:lineRule="auto"/>
              <w:jc w:val="left"/>
              <w:textAlignment w:val="bottom"/>
              <w:rPr>
                <w:rFonts w:cs="Arial"/>
                <w:sz w:val="18"/>
                <w:szCs w:val="18"/>
                <w:lang w:val="pl-PL" w:eastAsia="pl-PL"/>
              </w:rPr>
            </w:pPr>
            <w:r w:rsidRPr="00F73264">
              <w:rPr>
                <w:rFonts w:eastAsia="MS Gothic" w:cs="Arial"/>
                <w:color w:val="000000"/>
                <w:kern w:val="24"/>
                <w:sz w:val="18"/>
                <w:szCs w:val="18"/>
                <w:lang w:val="pl-PL" w:eastAsia="pl-PL"/>
              </w:rPr>
              <w:t>wielkopolskie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5AE4DE1F"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29</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192A21CE"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0,84</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005FADD0"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308 0517</w:t>
            </w:r>
          </w:p>
        </w:tc>
        <w:tc>
          <w:tcPr>
            <w:tcW w:w="1761" w:type="dxa"/>
            <w:tcBorders>
              <w:top w:val="nil"/>
              <w:left w:val="single" w:sz="4" w:space="0" w:color="808080" w:themeColor="background1" w:themeShade="80"/>
              <w:bottom w:val="nil"/>
            </w:tcBorders>
            <w:shd w:val="clear" w:color="auto" w:fill="auto"/>
            <w:vAlign w:val="center"/>
          </w:tcPr>
          <w:p w14:paraId="719BAD19"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0,89</w:t>
            </w:r>
          </w:p>
        </w:tc>
      </w:tr>
      <w:tr w:rsidR="00373904" w:rsidRPr="00BC4357" w14:paraId="39737683" w14:textId="77777777" w:rsidTr="00FB74AE">
        <w:tc>
          <w:tcPr>
            <w:tcW w:w="1985" w:type="dxa"/>
            <w:tcBorders>
              <w:top w:val="nil"/>
              <w:bottom w:val="nil"/>
              <w:right w:val="single" w:sz="4" w:space="0" w:color="808080" w:themeColor="background1" w:themeShade="80"/>
            </w:tcBorders>
            <w:shd w:val="clear" w:color="auto" w:fill="F2F2F2" w:themeFill="background1" w:themeFillShade="F2"/>
            <w:vAlign w:val="center"/>
          </w:tcPr>
          <w:p w14:paraId="1D451914" w14:textId="77777777" w:rsidR="00373904" w:rsidRPr="00F73264" w:rsidRDefault="00373904" w:rsidP="00373904">
            <w:pPr>
              <w:widowControl/>
              <w:autoSpaceDE/>
              <w:autoSpaceDN/>
              <w:adjustRightInd/>
              <w:spacing w:before="0" w:after="0" w:line="240" w:lineRule="auto"/>
              <w:jc w:val="left"/>
              <w:rPr>
                <w:rFonts w:cs="Arial"/>
                <w:sz w:val="18"/>
                <w:szCs w:val="18"/>
                <w:lang w:val="pl-PL" w:eastAsia="pl-PL"/>
              </w:rPr>
            </w:pPr>
            <w:r w:rsidRPr="00F73264">
              <w:rPr>
                <w:rFonts w:eastAsia="MS Gothic" w:cs="Arial"/>
                <w:color w:val="000000"/>
                <w:kern w:val="24"/>
                <w:sz w:val="18"/>
                <w:szCs w:val="18"/>
                <w:lang w:val="pl-PL" w:eastAsia="pl-PL"/>
              </w:rPr>
              <w:t>zachodniopomorskie</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7EDFCD6F"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15</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6AD90BDD"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0,87</w:t>
            </w:r>
          </w:p>
        </w:tc>
        <w:tc>
          <w:tcPr>
            <w:tcW w:w="1761" w:type="dxa"/>
            <w:tcBorders>
              <w:top w:val="nil"/>
              <w:left w:val="single" w:sz="4" w:space="0" w:color="808080" w:themeColor="background1" w:themeShade="80"/>
              <w:bottom w:val="nil"/>
              <w:right w:val="single" w:sz="4" w:space="0" w:color="808080" w:themeColor="background1" w:themeShade="80"/>
            </w:tcBorders>
            <w:shd w:val="clear" w:color="auto" w:fill="auto"/>
            <w:vAlign w:val="center"/>
          </w:tcPr>
          <w:p w14:paraId="23A916E5"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1 226 922</w:t>
            </w:r>
          </w:p>
        </w:tc>
        <w:tc>
          <w:tcPr>
            <w:tcW w:w="1761" w:type="dxa"/>
            <w:tcBorders>
              <w:top w:val="nil"/>
              <w:left w:val="single" w:sz="4" w:space="0" w:color="808080" w:themeColor="background1" w:themeShade="80"/>
              <w:bottom w:val="nil"/>
            </w:tcBorders>
            <w:shd w:val="clear" w:color="auto" w:fill="auto"/>
            <w:vAlign w:val="center"/>
          </w:tcPr>
          <w:p w14:paraId="28E0218A" w14:textId="77777777" w:rsidR="00373904" w:rsidRPr="00373904" w:rsidRDefault="00373904" w:rsidP="00373904">
            <w:pPr>
              <w:pStyle w:val="EYBulletedList1"/>
              <w:numPr>
                <w:ilvl w:val="0"/>
                <w:numId w:val="0"/>
              </w:numPr>
              <w:spacing w:beforeLines="20" w:before="48" w:afterLines="20" w:after="48"/>
              <w:jc w:val="center"/>
              <w:rPr>
                <w:rFonts w:eastAsia="Calibri"/>
                <w:sz w:val="18"/>
                <w:szCs w:val="18"/>
                <w:lang w:val="pl-PL"/>
              </w:rPr>
            </w:pPr>
            <w:r w:rsidRPr="00373904">
              <w:rPr>
                <w:rFonts w:eastAsia="Calibri"/>
                <w:sz w:val="18"/>
                <w:szCs w:val="18"/>
                <w:lang w:val="pl-PL"/>
              </w:rPr>
              <w:t>0,71</w:t>
            </w:r>
          </w:p>
        </w:tc>
      </w:tr>
    </w:tbl>
    <w:p w14:paraId="1D964F17" w14:textId="77777777" w:rsidR="00A81925" w:rsidRPr="00A81925" w:rsidRDefault="00A81925" w:rsidP="004E62AC">
      <w:pPr>
        <w:pStyle w:val="EYBulletedList1"/>
        <w:numPr>
          <w:ilvl w:val="0"/>
          <w:numId w:val="0"/>
        </w:numPr>
        <w:jc w:val="both"/>
        <w:rPr>
          <w:rFonts w:eastAsia="Calibri"/>
          <w:color w:val="000000" w:themeColor="text1"/>
          <w:sz w:val="18"/>
          <w:szCs w:val="18"/>
          <w:lang w:val="pl-PL"/>
        </w:rPr>
      </w:pPr>
      <w:r w:rsidRPr="00A81925">
        <w:rPr>
          <w:rFonts w:eastAsia="Calibri"/>
          <w:color w:val="000000" w:themeColor="text1"/>
          <w:sz w:val="18"/>
          <w:szCs w:val="18"/>
          <w:lang w:val="pl-PL"/>
        </w:rPr>
        <w:lastRenderedPageBreak/>
        <w:t xml:space="preserve">Źródło: </w:t>
      </w:r>
      <w:r w:rsidRPr="00A81925">
        <w:rPr>
          <w:sz w:val="18"/>
          <w:szCs w:val="18"/>
          <w:lang w:val="pl-PL"/>
        </w:rPr>
        <w:t>Dane Sekcji Nefrologicznej Izby Gospodarczej Medycyna Polska (Nefron) – prezentacja z XII Krakowskich Dni Dializoterapii, D.</w:t>
      </w:r>
      <w:r w:rsidR="00373904">
        <w:rPr>
          <w:sz w:val="18"/>
          <w:szCs w:val="18"/>
          <w:lang w:val="pl-PL"/>
        </w:rPr>
        <w:t xml:space="preserve"> </w:t>
      </w:r>
      <w:r w:rsidRPr="00A81925">
        <w:rPr>
          <w:sz w:val="18"/>
          <w:szCs w:val="18"/>
          <w:lang w:val="pl-PL"/>
        </w:rPr>
        <w:t>Aksamit, 09.2016</w:t>
      </w:r>
    </w:p>
    <w:p w14:paraId="2A64F47B" w14:textId="77777777" w:rsidR="00D653BC" w:rsidRPr="00C35428" w:rsidRDefault="00D653BC" w:rsidP="004E62AC">
      <w:pPr>
        <w:pStyle w:val="EYBulletedList1"/>
        <w:numPr>
          <w:ilvl w:val="0"/>
          <w:numId w:val="0"/>
        </w:numPr>
        <w:jc w:val="both"/>
        <w:rPr>
          <w:rFonts w:eastAsia="Calibri"/>
          <w:b/>
          <w:color w:val="000000" w:themeColor="text1"/>
          <w:sz w:val="22"/>
          <w:szCs w:val="22"/>
          <w:lang w:val="pl-PL"/>
        </w:rPr>
      </w:pPr>
      <w:r w:rsidRPr="00C35428">
        <w:rPr>
          <w:rFonts w:eastAsia="Calibri"/>
          <w:color w:val="000000" w:themeColor="text1"/>
          <w:sz w:val="22"/>
          <w:szCs w:val="22"/>
          <w:lang w:val="pl-PL"/>
        </w:rPr>
        <w:t xml:space="preserve">Poradnie Nefrologiczne w ramach umowy z NFZ wykonały w 2015 roku około 600 000 porad. Średnio każda </w:t>
      </w:r>
      <w:r w:rsidR="00C42037">
        <w:rPr>
          <w:rFonts w:eastAsia="Calibri"/>
          <w:color w:val="000000" w:themeColor="text1"/>
          <w:sz w:val="22"/>
          <w:szCs w:val="22"/>
          <w:lang w:val="pl-PL"/>
        </w:rPr>
        <w:t>p</w:t>
      </w:r>
      <w:r w:rsidRPr="00C35428">
        <w:rPr>
          <w:rFonts w:eastAsia="Calibri"/>
          <w:color w:val="000000" w:themeColor="text1"/>
          <w:sz w:val="22"/>
          <w:szCs w:val="22"/>
          <w:lang w:val="pl-PL"/>
        </w:rPr>
        <w:t xml:space="preserve">oradnia wykonała około 2000 porad rocznie tj. około 8-9 dziennie. </w:t>
      </w:r>
    </w:p>
    <w:p w14:paraId="7E03E553" w14:textId="77777777" w:rsidR="009F3AD8" w:rsidRPr="004E62AC" w:rsidRDefault="004711C5" w:rsidP="004E62AC">
      <w:pPr>
        <w:pStyle w:val="EYBulletedList1"/>
        <w:numPr>
          <w:ilvl w:val="0"/>
          <w:numId w:val="0"/>
        </w:numPr>
        <w:jc w:val="both"/>
        <w:rPr>
          <w:rFonts w:eastAsia="Calibri"/>
          <w:b/>
          <w:lang w:val="pl-PL"/>
        </w:rPr>
      </w:pPr>
      <w:r w:rsidRPr="004E62AC">
        <w:rPr>
          <w:rFonts w:eastAsia="Calibri"/>
          <w:b/>
          <w:sz w:val="22"/>
          <w:lang w:val="pl-PL"/>
        </w:rPr>
        <w:t>Stacje dializ</w:t>
      </w:r>
    </w:p>
    <w:p w14:paraId="7681AEC4" w14:textId="469DE313" w:rsidR="00612E1C" w:rsidRDefault="003A357B" w:rsidP="004E62AC">
      <w:pPr>
        <w:pStyle w:val="EYBulletedList1"/>
        <w:numPr>
          <w:ilvl w:val="0"/>
          <w:numId w:val="0"/>
        </w:numPr>
        <w:jc w:val="both"/>
        <w:rPr>
          <w:rFonts w:eastAsia="Calibri"/>
          <w:sz w:val="22"/>
          <w:lang w:val="pl-PL"/>
        </w:rPr>
      </w:pPr>
      <w:r>
        <w:rPr>
          <w:rFonts w:eastAsia="Calibri"/>
          <w:sz w:val="22"/>
          <w:lang w:val="pl-PL"/>
        </w:rPr>
        <w:t>W 2015</w:t>
      </w:r>
      <w:r w:rsidR="00A81925">
        <w:rPr>
          <w:rFonts w:eastAsia="Calibri"/>
          <w:sz w:val="22"/>
          <w:lang w:val="pl-PL"/>
        </w:rPr>
        <w:t xml:space="preserve"> roku funkcjonowały w Polsce 284</w:t>
      </w:r>
      <w:r>
        <w:rPr>
          <w:rFonts w:eastAsia="Calibri"/>
          <w:sz w:val="22"/>
          <w:lang w:val="pl-PL"/>
        </w:rPr>
        <w:t xml:space="preserve"> stacje dializ, </w:t>
      </w:r>
      <w:r w:rsidR="005541E4">
        <w:rPr>
          <w:rFonts w:eastAsia="Calibri"/>
          <w:sz w:val="22"/>
          <w:lang w:val="pl-PL"/>
        </w:rPr>
        <w:t xml:space="preserve">w </w:t>
      </w:r>
      <w:r>
        <w:rPr>
          <w:rFonts w:eastAsia="Calibri"/>
          <w:sz w:val="22"/>
          <w:lang w:val="pl-PL"/>
        </w:rPr>
        <w:t>których znajduje się 4339 stanowisk dializacyjnych. Najwięcej stacji dializ</w:t>
      </w:r>
      <w:r w:rsidR="002C201D">
        <w:rPr>
          <w:rFonts w:eastAsia="Calibri"/>
          <w:sz w:val="22"/>
          <w:lang w:val="pl-PL"/>
        </w:rPr>
        <w:t xml:space="preserve"> znajdowało się w województwie ś</w:t>
      </w:r>
      <w:r>
        <w:rPr>
          <w:rFonts w:eastAsia="Calibri"/>
          <w:sz w:val="22"/>
          <w:lang w:val="pl-PL"/>
        </w:rPr>
        <w:t xml:space="preserve">ląskim – </w:t>
      </w:r>
      <w:r w:rsidR="002C201D">
        <w:rPr>
          <w:rFonts w:eastAsia="Calibri"/>
          <w:sz w:val="22"/>
          <w:lang w:val="pl-PL"/>
        </w:rPr>
        <w:t>37, a następnie w województwie m</w:t>
      </w:r>
      <w:r>
        <w:rPr>
          <w:rFonts w:eastAsia="Calibri"/>
          <w:sz w:val="22"/>
          <w:lang w:val="pl-PL"/>
        </w:rPr>
        <w:t>az</w:t>
      </w:r>
      <w:r w:rsidR="002C201D">
        <w:rPr>
          <w:rFonts w:eastAsia="Calibri"/>
          <w:sz w:val="22"/>
          <w:lang w:val="pl-PL"/>
        </w:rPr>
        <w:t>owieckim – 34 i w województwie w</w:t>
      </w:r>
      <w:r>
        <w:rPr>
          <w:rFonts w:eastAsia="Calibri"/>
          <w:sz w:val="22"/>
          <w:lang w:val="pl-PL"/>
        </w:rPr>
        <w:t>ielkopolskim – 28. Najmniej stacji dializ znajdowało się w wojew</w:t>
      </w:r>
      <w:r w:rsidR="002C201D">
        <w:rPr>
          <w:rFonts w:eastAsia="Calibri"/>
          <w:sz w:val="22"/>
          <w:lang w:val="pl-PL"/>
        </w:rPr>
        <w:t>ództwie l</w:t>
      </w:r>
      <w:r>
        <w:rPr>
          <w:rFonts w:eastAsia="Calibri"/>
          <w:sz w:val="22"/>
          <w:lang w:val="pl-PL"/>
        </w:rPr>
        <w:t>ubuskim –</w:t>
      </w:r>
      <w:r w:rsidR="002C201D">
        <w:rPr>
          <w:rFonts w:eastAsia="Calibri"/>
          <w:sz w:val="22"/>
          <w:lang w:val="pl-PL"/>
        </w:rPr>
        <w:t xml:space="preserve"> 8, a następnie w województwie opolskim i p</w:t>
      </w:r>
      <w:r>
        <w:rPr>
          <w:rFonts w:eastAsia="Calibri"/>
          <w:sz w:val="22"/>
          <w:lang w:val="pl-PL"/>
        </w:rPr>
        <w:t>odlaskim – po 9 stacji dializ.</w:t>
      </w:r>
    </w:p>
    <w:p w14:paraId="681A7ABB" w14:textId="02868113" w:rsidR="00BC4357" w:rsidRPr="00060165" w:rsidRDefault="00BC4357" w:rsidP="00BC4357">
      <w:pPr>
        <w:pStyle w:val="Legenda"/>
        <w:keepNext/>
        <w:rPr>
          <w:b/>
          <w:i w:val="0"/>
          <w:color w:val="auto"/>
          <w:lang w:val="pl-PL"/>
        </w:rPr>
      </w:pPr>
      <w:bookmarkStart w:id="89" w:name="_Toc486537979"/>
      <w:r w:rsidRPr="00060165">
        <w:rPr>
          <w:b/>
          <w:i w:val="0"/>
          <w:color w:val="auto"/>
          <w:lang w:val="pl-PL"/>
        </w:rPr>
        <w:t xml:space="preserve">Tabela </w:t>
      </w:r>
      <w:r w:rsidRPr="00060165">
        <w:rPr>
          <w:b/>
          <w:i w:val="0"/>
          <w:color w:val="auto"/>
        </w:rPr>
        <w:fldChar w:fldCharType="begin"/>
      </w:r>
      <w:r w:rsidRPr="00060165">
        <w:rPr>
          <w:b/>
          <w:i w:val="0"/>
          <w:color w:val="auto"/>
          <w:lang w:val="pl-PL"/>
        </w:rPr>
        <w:instrText xml:space="preserve"> SEQ Tabela \* ARABIC </w:instrText>
      </w:r>
      <w:r w:rsidRPr="00060165">
        <w:rPr>
          <w:b/>
          <w:i w:val="0"/>
          <w:color w:val="auto"/>
        </w:rPr>
        <w:fldChar w:fldCharType="separate"/>
      </w:r>
      <w:r w:rsidR="005C7285">
        <w:rPr>
          <w:b/>
          <w:i w:val="0"/>
          <w:noProof/>
          <w:color w:val="auto"/>
          <w:lang w:val="pl-PL"/>
        </w:rPr>
        <w:t>16</w:t>
      </w:r>
      <w:r w:rsidRPr="00060165">
        <w:rPr>
          <w:b/>
          <w:i w:val="0"/>
          <w:color w:val="auto"/>
        </w:rPr>
        <w:fldChar w:fldCharType="end"/>
      </w:r>
      <w:r w:rsidRPr="00060165">
        <w:rPr>
          <w:b/>
          <w:i w:val="0"/>
          <w:color w:val="auto"/>
          <w:lang w:val="pl-PL"/>
        </w:rPr>
        <w:t xml:space="preserve"> Stacje dializ publiczne vs. niepubliczne (2015 r.)</w:t>
      </w:r>
      <w:bookmarkEnd w:id="89"/>
    </w:p>
    <w:tbl>
      <w:tblPr>
        <w:tblStyle w:val="Tabela-Siatka"/>
        <w:tblW w:w="9072"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28"/>
        <w:gridCol w:w="1748"/>
        <w:gridCol w:w="1748"/>
        <w:gridCol w:w="1748"/>
      </w:tblGrid>
      <w:tr w:rsidR="00373904" w:rsidRPr="0002448D" w14:paraId="10CC72F7" w14:textId="77777777" w:rsidTr="00373904">
        <w:tc>
          <w:tcPr>
            <w:tcW w:w="3828" w:type="dxa"/>
            <w:shd w:val="clear" w:color="auto" w:fill="FFE600"/>
            <w:vAlign w:val="center"/>
          </w:tcPr>
          <w:p w14:paraId="5AE33691" w14:textId="77777777" w:rsidR="00373904" w:rsidRPr="0002448D" w:rsidRDefault="00373904" w:rsidP="00373904">
            <w:pPr>
              <w:spacing w:before="60" w:after="60" w:line="240" w:lineRule="auto"/>
              <w:jc w:val="left"/>
              <w:rPr>
                <w:rFonts w:eastAsia="Calibri"/>
                <w:b/>
                <w:sz w:val="18"/>
                <w:szCs w:val="18"/>
                <w:lang w:val="pl-PL"/>
              </w:rPr>
            </w:pPr>
          </w:p>
        </w:tc>
        <w:tc>
          <w:tcPr>
            <w:tcW w:w="1748" w:type="dxa"/>
            <w:shd w:val="clear" w:color="auto" w:fill="FFE600"/>
            <w:vAlign w:val="center"/>
          </w:tcPr>
          <w:p w14:paraId="59B14253" w14:textId="77777777" w:rsidR="00373904" w:rsidRPr="00BC4357" w:rsidRDefault="00373904" w:rsidP="00373904">
            <w:pPr>
              <w:spacing w:before="60" w:after="60" w:line="240" w:lineRule="auto"/>
              <w:jc w:val="center"/>
              <w:rPr>
                <w:rFonts w:eastAsia="Calibri"/>
                <w:b/>
                <w:sz w:val="18"/>
                <w:szCs w:val="18"/>
                <w:lang w:val="pl-PL"/>
              </w:rPr>
            </w:pPr>
            <w:r w:rsidRPr="00BC4357">
              <w:rPr>
                <w:rFonts w:eastAsia="MS Gothic" w:cs="Arial"/>
                <w:b/>
                <w:bCs/>
                <w:color w:val="000000" w:themeColor="text1"/>
                <w:kern w:val="24"/>
                <w:sz w:val="18"/>
                <w:lang w:val="pl-PL" w:eastAsia="pl-PL"/>
              </w:rPr>
              <w:t>Publiczne</w:t>
            </w:r>
          </w:p>
        </w:tc>
        <w:tc>
          <w:tcPr>
            <w:tcW w:w="1748" w:type="dxa"/>
            <w:shd w:val="clear" w:color="auto" w:fill="FFE600"/>
            <w:vAlign w:val="center"/>
          </w:tcPr>
          <w:p w14:paraId="004A4857" w14:textId="77777777" w:rsidR="00373904" w:rsidRPr="00BC4357" w:rsidRDefault="00373904" w:rsidP="00373904">
            <w:pPr>
              <w:spacing w:before="60" w:after="60" w:line="240" w:lineRule="auto"/>
              <w:jc w:val="center"/>
              <w:rPr>
                <w:rFonts w:eastAsia="Calibri"/>
                <w:b/>
                <w:sz w:val="18"/>
                <w:szCs w:val="18"/>
                <w:lang w:val="pl-PL"/>
              </w:rPr>
            </w:pPr>
            <w:r w:rsidRPr="00BC4357">
              <w:rPr>
                <w:rFonts w:eastAsia="MS Gothic" w:cs="Arial"/>
                <w:b/>
                <w:bCs/>
                <w:color w:val="000000" w:themeColor="text1"/>
                <w:kern w:val="24"/>
                <w:sz w:val="18"/>
                <w:lang w:val="pl-PL" w:eastAsia="pl-PL"/>
              </w:rPr>
              <w:t>Niepubliczne</w:t>
            </w:r>
          </w:p>
        </w:tc>
        <w:tc>
          <w:tcPr>
            <w:tcW w:w="1748" w:type="dxa"/>
            <w:shd w:val="clear" w:color="auto" w:fill="FFE600"/>
          </w:tcPr>
          <w:p w14:paraId="3CC5F172" w14:textId="77777777" w:rsidR="00373904" w:rsidRPr="00BC4357" w:rsidRDefault="00373904" w:rsidP="00373904">
            <w:pPr>
              <w:spacing w:before="60" w:after="60" w:line="240" w:lineRule="auto"/>
              <w:jc w:val="center"/>
              <w:rPr>
                <w:rFonts w:eastAsia="MS Gothic" w:cs="Arial"/>
                <w:b/>
                <w:bCs/>
                <w:color w:val="000000" w:themeColor="text1"/>
                <w:kern w:val="24"/>
                <w:sz w:val="18"/>
                <w:lang w:val="pl-PL" w:eastAsia="pl-PL"/>
              </w:rPr>
            </w:pPr>
            <w:r>
              <w:rPr>
                <w:rFonts w:eastAsia="MS Gothic" w:cs="Arial"/>
                <w:b/>
                <w:bCs/>
                <w:color w:val="000000" w:themeColor="text1"/>
                <w:kern w:val="24"/>
                <w:sz w:val="18"/>
                <w:lang w:val="pl-PL" w:eastAsia="pl-PL"/>
              </w:rPr>
              <w:t>Razem</w:t>
            </w:r>
          </w:p>
        </w:tc>
      </w:tr>
      <w:tr w:rsidR="00373904" w:rsidRPr="0002448D" w14:paraId="7231D7B3" w14:textId="77777777" w:rsidTr="00FB74AE">
        <w:tc>
          <w:tcPr>
            <w:tcW w:w="3828" w:type="dxa"/>
            <w:tcBorders>
              <w:bottom w:val="nil"/>
              <w:right w:val="single" w:sz="4" w:space="0" w:color="808080"/>
            </w:tcBorders>
            <w:shd w:val="clear" w:color="auto" w:fill="F2F2F2" w:themeFill="background1" w:themeFillShade="F2"/>
            <w:vAlign w:val="center"/>
          </w:tcPr>
          <w:p w14:paraId="0E6339B6" w14:textId="77777777" w:rsidR="00373904" w:rsidRPr="00996F53" w:rsidRDefault="00373904" w:rsidP="00373904">
            <w:pPr>
              <w:pStyle w:val="EYBulletedList1"/>
              <w:numPr>
                <w:ilvl w:val="0"/>
                <w:numId w:val="0"/>
              </w:numPr>
              <w:spacing w:beforeLines="20" w:before="48" w:afterLines="20" w:after="48"/>
              <w:rPr>
                <w:rFonts w:eastAsia="Calibri"/>
                <w:sz w:val="18"/>
                <w:szCs w:val="18"/>
                <w:lang w:val="pl-PL"/>
              </w:rPr>
            </w:pPr>
            <w:r w:rsidRPr="00BC4357">
              <w:rPr>
                <w:rFonts w:eastAsia="Calibri"/>
                <w:sz w:val="18"/>
                <w:szCs w:val="18"/>
                <w:lang w:val="pl-PL"/>
              </w:rPr>
              <w:t>Liczba stacji dializ</w:t>
            </w:r>
          </w:p>
        </w:tc>
        <w:tc>
          <w:tcPr>
            <w:tcW w:w="1748" w:type="dxa"/>
            <w:tcBorders>
              <w:left w:val="single" w:sz="4" w:space="0" w:color="808080"/>
              <w:bottom w:val="nil"/>
              <w:right w:val="single" w:sz="4" w:space="0" w:color="808080"/>
            </w:tcBorders>
            <w:shd w:val="clear" w:color="auto" w:fill="auto"/>
            <w:vAlign w:val="center"/>
          </w:tcPr>
          <w:p w14:paraId="0FA9B5A4"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103</w:t>
            </w:r>
          </w:p>
        </w:tc>
        <w:tc>
          <w:tcPr>
            <w:tcW w:w="1748" w:type="dxa"/>
            <w:tcBorders>
              <w:left w:val="single" w:sz="4" w:space="0" w:color="808080"/>
              <w:bottom w:val="nil"/>
              <w:right w:val="single" w:sz="4" w:space="0" w:color="808080"/>
            </w:tcBorders>
            <w:shd w:val="clear" w:color="auto" w:fill="auto"/>
            <w:vAlign w:val="center"/>
          </w:tcPr>
          <w:p w14:paraId="7CAA02BB"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181</w:t>
            </w:r>
          </w:p>
        </w:tc>
        <w:tc>
          <w:tcPr>
            <w:tcW w:w="1748" w:type="dxa"/>
            <w:tcBorders>
              <w:left w:val="single" w:sz="4" w:space="0" w:color="808080"/>
              <w:bottom w:val="nil"/>
            </w:tcBorders>
            <w:shd w:val="clear" w:color="auto" w:fill="auto"/>
          </w:tcPr>
          <w:p w14:paraId="2137BBF1"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Pr>
                <w:rFonts w:eastAsia="Calibri"/>
                <w:sz w:val="18"/>
                <w:szCs w:val="18"/>
                <w:lang w:val="pl-PL"/>
              </w:rPr>
              <w:t>284</w:t>
            </w:r>
          </w:p>
        </w:tc>
      </w:tr>
      <w:tr w:rsidR="00373904" w:rsidRPr="0002448D" w14:paraId="3D4B8038" w14:textId="77777777" w:rsidTr="00FB74AE">
        <w:tc>
          <w:tcPr>
            <w:tcW w:w="3828" w:type="dxa"/>
            <w:tcBorders>
              <w:top w:val="nil"/>
              <w:bottom w:val="nil"/>
              <w:right w:val="single" w:sz="4" w:space="0" w:color="808080"/>
            </w:tcBorders>
            <w:shd w:val="clear" w:color="auto" w:fill="F2F2F2" w:themeFill="background1" w:themeFillShade="F2"/>
            <w:vAlign w:val="center"/>
          </w:tcPr>
          <w:p w14:paraId="7D2CF558" w14:textId="77777777" w:rsidR="00373904" w:rsidRPr="00BC4357" w:rsidRDefault="00373904" w:rsidP="00373904">
            <w:pPr>
              <w:pStyle w:val="EYBulletedList1"/>
              <w:numPr>
                <w:ilvl w:val="0"/>
                <w:numId w:val="0"/>
              </w:numPr>
              <w:spacing w:beforeLines="20" w:before="48" w:afterLines="20" w:after="48"/>
              <w:rPr>
                <w:rFonts w:eastAsia="Calibri"/>
                <w:sz w:val="18"/>
                <w:szCs w:val="18"/>
                <w:lang w:val="pl-PL"/>
              </w:rPr>
            </w:pPr>
            <w:r w:rsidRPr="00BC4357">
              <w:rPr>
                <w:rFonts w:eastAsia="Calibri"/>
                <w:sz w:val="18"/>
                <w:szCs w:val="18"/>
                <w:lang w:val="pl-PL"/>
              </w:rPr>
              <w:t>Liczba dializowanych</w:t>
            </w:r>
          </w:p>
        </w:tc>
        <w:tc>
          <w:tcPr>
            <w:tcW w:w="1748" w:type="dxa"/>
            <w:tcBorders>
              <w:top w:val="nil"/>
              <w:left w:val="single" w:sz="4" w:space="0" w:color="808080"/>
              <w:bottom w:val="nil"/>
              <w:right w:val="single" w:sz="4" w:space="0" w:color="808080"/>
            </w:tcBorders>
            <w:shd w:val="clear" w:color="auto" w:fill="auto"/>
            <w:vAlign w:val="center"/>
          </w:tcPr>
          <w:p w14:paraId="40CD32F8"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7 403</w:t>
            </w:r>
          </w:p>
        </w:tc>
        <w:tc>
          <w:tcPr>
            <w:tcW w:w="1748" w:type="dxa"/>
            <w:tcBorders>
              <w:top w:val="nil"/>
              <w:left w:val="single" w:sz="4" w:space="0" w:color="808080"/>
              <w:bottom w:val="nil"/>
              <w:right w:val="single" w:sz="4" w:space="0" w:color="808080"/>
            </w:tcBorders>
            <w:shd w:val="clear" w:color="auto" w:fill="auto"/>
            <w:vAlign w:val="center"/>
          </w:tcPr>
          <w:p w14:paraId="1B2933A1"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12 733</w:t>
            </w:r>
          </w:p>
        </w:tc>
        <w:tc>
          <w:tcPr>
            <w:tcW w:w="1748" w:type="dxa"/>
            <w:tcBorders>
              <w:top w:val="nil"/>
              <w:left w:val="single" w:sz="4" w:space="0" w:color="808080"/>
              <w:bottom w:val="nil"/>
            </w:tcBorders>
            <w:shd w:val="clear" w:color="auto" w:fill="auto"/>
          </w:tcPr>
          <w:p w14:paraId="16AE71AC"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Pr>
                <w:rFonts w:eastAsia="Calibri"/>
                <w:sz w:val="18"/>
                <w:szCs w:val="18"/>
                <w:lang w:val="pl-PL"/>
              </w:rPr>
              <w:t>20136</w:t>
            </w:r>
          </w:p>
        </w:tc>
      </w:tr>
      <w:tr w:rsidR="00373904" w:rsidRPr="00BC4357" w14:paraId="50AAC8E8" w14:textId="77777777" w:rsidTr="00FB74AE">
        <w:tc>
          <w:tcPr>
            <w:tcW w:w="3828" w:type="dxa"/>
            <w:tcBorders>
              <w:top w:val="nil"/>
              <w:bottom w:val="nil"/>
              <w:right w:val="single" w:sz="4" w:space="0" w:color="808080"/>
            </w:tcBorders>
            <w:shd w:val="clear" w:color="auto" w:fill="F2F2F2" w:themeFill="background1" w:themeFillShade="F2"/>
            <w:vAlign w:val="center"/>
          </w:tcPr>
          <w:p w14:paraId="1482A8AE" w14:textId="77777777" w:rsidR="00373904" w:rsidRPr="00BC4357" w:rsidRDefault="00373904" w:rsidP="00373904">
            <w:pPr>
              <w:pStyle w:val="EYBulletedList1"/>
              <w:numPr>
                <w:ilvl w:val="0"/>
                <w:numId w:val="0"/>
              </w:numPr>
              <w:spacing w:beforeLines="20" w:before="48" w:afterLines="20" w:after="48"/>
              <w:rPr>
                <w:rFonts w:eastAsia="Calibri"/>
                <w:sz w:val="18"/>
                <w:szCs w:val="18"/>
                <w:lang w:val="pl-PL"/>
              </w:rPr>
            </w:pPr>
            <w:r w:rsidRPr="00BC4357">
              <w:rPr>
                <w:rFonts w:eastAsia="Calibri"/>
                <w:sz w:val="18"/>
                <w:szCs w:val="18"/>
                <w:lang w:val="pl-PL"/>
              </w:rPr>
              <w:t>Liczba stanowisk HD</w:t>
            </w:r>
          </w:p>
        </w:tc>
        <w:tc>
          <w:tcPr>
            <w:tcW w:w="1748" w:type="dxa"/>
            <w:tcBorders>
              <w:top w:val="nil"/>
              <w:left w:val="single" w:sz="4" w:space="0" w:color="808080"/>
              <w:bottom w:val="nil"/>
              <w:right w:val="single" w:sz="4" w:space="0" w:color="808080"/>
            </w:tcBorders>
            <w:shd w:val="clear" w:color="auto" w:fill="auto"/>
            <w:vAlign w:val="center"/>
          </w:tcPr>
          <w:p w14:paraId="738DE7DC"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1 383</w:t>
            </w:r>
          </w:p>
        </w:tc>
        <w:tc>
          <w:tcPr>
            <w:tcW w:w="1748" w:type="dxa"/>
            <w:tcBorders>
              <w:top w:val="nil"/>
              <w:left w:val="single" w:sz="4" w:space="0" w:color="808080"/>
              <w:bottom w:val="nil"/>
              <w:right w:val="single" w:sz="4" w:space="0" w:color="808080"/>
            </w:tcBorders>
            <w:shd w:val="clear" w:color="auto" w:fill="auto"/>
            <w:vAlign w:val="center"/>
          </w:tcPr>
          <w:p w14:paraId="2604DC28"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2 956</w:t>
            </w:r>
          </w:p>
        </w:tc>
        <w:tc>
          <w:tcPr>
            <w:tcW w:w="1748" w:type="dxa"/>
            <w:tcBorders>
              <w:top w:val="nil"/>
              <w:left w:val="single" w:sz="4" w:space="0" w:color="808080"/>
              <w:bottom w:val="nil"/>
            </w:tcBorders>
            <w:shd w:val="clear" w:color="auto" w:fill="auto"/>
          </w:tcPr>
          <w:p w14:paraId="237EC07A"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Pr>
                <w:rFonts w:eastAsia="Calibri"/>
                <w:sz w:val="18"/>
                <w:szCs w:val="18"/>
                <w:lang w:val="pl-PL"/>
              </w:rPr>
              <w:t>4339</w:t>
            </w:r>
          </w:p>
        </w:tc>
      </w:tr>
      <w:tr w:rsidR="00373904" w:rsidRPr="007C21AC" w14:paraId="5BE55D7D" w14:textId="77777777" w:rsidTr="00FB74AE">
        <w:tc>
          <w:tcPr>
            <w:tcW w:w="3828" w:type="dxa"/>
            <w:tcBorders>
              <w:top w:val="nil"/>
              <w:bottom w:val="nil"/>
              <w:right w:val="single" w:sz="4" w:space="0" w:color="808080"/>
            </w:tcBorders>
            <w:shd w:val="clear" w:color="auto" w:fill="F2F2F2" w:themeFill="background1" w:themeFillShade="F2"/>
            <w:vAlign w:val="center"/>
          </w:tcPr>
          <w:p w14:paraId="42EA5C26" w14:textId="77777777" w:rsidR="00373904" w:rsidRPr="00BC4357" w:rsidRDefault="00373904" w:rsidP="00373904">
            <w:pPr>
              <w:pStyle w:val="EYBulletedList1"/>
              <w:numPr>
                <w:ilvl w:val="0"/>
                <w:numId w:val="0"/>
              </w:numPr>
              <w:spacing w:beforeLines="20" w:before="48" w:afterLines="20" w:after="48"/>
              <w:rPr>
                <w:rFonts w:eastAsia="Calibri"/>
                <w:sz w:val="18"/>
                <w:szCs w:val="18"/>
                <w:lang w:val="pl-PL"/>
              </w:rPr>
            </w:pPr>
            <w:r>
              <w:rPr>
                <w:rFonts w:eastAsia="Calibri"/>
                <w:sz w:val="18"/>
                <w:szCs w:val="18"/>
                <w:lang w:val="pl-PL"/>
              </w:rPr>
              <w:t>Średnia l</w:t>
            </w:r>
            <w:r w:rsidRPr="00BC4357">
              <w:rPr>
                <w:rFonts w:eastAsia="Calibri"/>
                <w:sz w:val="18"/>
                <w:szCs w:val="18"/>
                <w:lang w:val="pl-PL"/>
              </w:rPr>
              <w:t>iczba dializowanych w stacji</w:t>
            </w:r>
          </w:p>
        </w:tc>
        <w:tc>
          <w:tcPr>
            <w:tcW w:w="1748" w:type="dxa"/>
            <w:tcBorders>
              <w:top w:val="nil"/>
              <w:left w:val="single" w:sz="4" w:space="0" w:color="808080"/>
              <w:bottom w:val="nil"/>
              <w:right w:val="single" w:sz="4" w:space="0" w:color="808080"/>
            </w:tcBorders>
            <w:shd w:val="clear" w:color="auto" w:fill="auto"/>
            <w:vAlign w:val="center"/>
          </w:tcPr>
          <w:p w14:paraId="33DDFEEA" w14:textId="77777777" w:rsidR="00373904" w:rsidRPr="00060165" w:rsidRDefault="00373904" w:rsidP="00373904">
            <w:pPr>
              <w:pStyle w:val="EYBulletedList1"/>
              <w:numPr>
                <w:ilvl w:val="0"/>
                <w:numId w:val="0"/>
              </w:numPr>
              <w:spacing w:beforeLines="20" w:before="48" w:afterLines="20" w:after="48"/>
              <w:jc w:val="center"/>
              <w:rPr>
                <w:rFonts w:eastAsia="Calibri"/>
                <w:sz w:val="18"/>
                <w:szCs w:val="18"/>
                <w:lang w:val="pl-PL"/>
              </w:rPr>
            </w:pPr>
            <w:r w:rsidRPr="00060165">
              <w:rPr>
                <w:rFonts w:eastAsia="Calibri"/>
                <w:sz w:val="18"/>
                <w:szCs w:val="18"/>
                <w:lang w:val="pl-PL"/>
              </w:rPr>
              <w:t>66,4</w:t>
            </w:r>
          </w:p>
        </w:tc>
        <w:tc>
          <w:tcPr>
            <w:tcW w:w="1748" w:type="dxa"/>
            <w:tcBorders>
              <w:top w:val="nil"/>
              <w:left w:val="single" w:sz="4" w:space="0" w:color="808080"/>
              <w:bottom w:val="nil"/>
              <w:right w:val="single" w:sz="4" w:space="0" w:color="808080"/>
            </w:tcBorders>
            <w:shd w:val="clear" w:color="auto" w:fill="auto"/>
            <w:vAlign w:val="center"/>
          </w:tcPr>
          <w:p w14:paraId="66891A11" w14:textId="77777777" w:rsidR="00373904" w:rsidRPr="00060165" w:rsidRDefault="00373904" w:rsidP="00373904">
            <w:pPr>
              <w:pStyle w:val="EYBulletedList1"/>
              <w:numPr>
                <w:ilvl w:val="0"/>
                <w:numId w:val="0"/>
              </w:numPr>
              <w:spacing w:beforeLines="20" w:before="48" w:afterLines="20" w:after="48"/>
              <w:jc w:val="center"/>
              <w:rPr>
                <w:rFonts w:eastAsia="Calibri"/>
                <w:sz w:val="18"/>
                <w:szCs w:val="18"/>
                <w:lang w:val="pl-PL"/>
              </w:rPr>
            </w:pPr>
            <w:r w:rsidRPr="00060165">
              <w:rPr>
                <w:rFonts w:eastAsia="Calibri"/>
                <w:sz w:val="18"/>
                <w:szCs w:val="18"/>
                <w:lang w:val="pl-PL"/>
              </w:rPr>
              <w:t>68,3</w:t>
            </w:r>
          </w:p>
        </w:tc>
        <w:tc>
          <w:tcPr>
            <w:tcW w:w="1748" w:type="dxa"/>
            <w:tcBorders>
              <w:top w:val="nil"/>
              <w:left w:val="single" w:sz="4" w:space="0" w:color="808080"/>
              <w:bottom w:val="nil"/>
            </w:tcBorders>
            <w:shd w:val="clear" w:color="auto" w:fill="auto"/>
          </w:tcPr>
          <w:p w14:paraId="34B9EDD2"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p>
        </w:tc>
      </w:tr>
      <w:tr w:rsidR="00373904" w:rsidRPr="00BC4357" w14:paraId="2426CD96" w14:textId="77777777" w:rsidTr="00FB74AE">
        <w:tc>
          <w:tcPr>
            <w:tcW w:w="3828" w:type="dxa"/>
            <w:tcBorders>
              <w:top w:val="nil"/>
              <w:bottom w:val="nil"/>
              <w:right w:val="single" w:sz="4" w:space="0" w:color="808080"/>
            </w:tcBorders>
            <w:shd w:val="clear" w:color="auto" w:fill="F2F2F2" w:themeFill="background1" w:themeFillShade="F2"/>
            <w:vAlign w:val="center"/>
          </w:tcPr>
          <w:p w14:paraId="09407A33" w14:textId="3799A51D" w:rsidR="00373904" w:rsidRPr="00BC4357" w:rsidRDefault="00373904" w:rsidP="00373904">
            <w:pPr>
              <w:pStyle w:val="EYBulletedList1"/>
              <w:numPr>
                <w:ilvl w:val="0"/>
                <w:numId w:val="0"/>
              </w:numPr>
              <w:spacing w:beforeLines="20" w:before="48" w:afterLines="20" w:after="48"/>
              <w:rPr>
                <w:rFonts w:eastAsia="Calibri"/>
                <w:sz w:val="18"/>
                <w:szCs w:val="18"/>
                <w:lang w:val="pl-PL"/>
              </w:rPr>
            </w:pPr>
            <w:r>
              <w:rPr>
                <w:rFonts w:eastAsia="Calibri"/>
                <w:sz w:val="18"/>
                <w:szCs w:val="18"/>
                <w:lang w:val="pl-PL"/>
              </w:rPr>
              <w:t>Średnia l</w:t>
            </w:r>
            <w:r w:rsidR="0011331F">
              <w:rPr>
                <w:rFonts w:eastAsia="Calibri"/>
                <w:sz w:val="18"/>
                <w:szCs w:val="18"/>
                <w:lang w:val="pl-PL"/>
              </w:rPr>
              <w:t>i</w:t>
            </w:r>
            <w:r w:rsidRPr="00BC4357">
              <w:rPr>
                <w:rFonts w:eastAsia="Calibri"/>
                <w:sz w:val="18"/>
                <w:szCs w:val="18"/>
                <w:lang w:val="pl-PL"/>
              </w:rPr>
              <w:t>czba dializowanych na stanowisko</w:t>
            </w:r>
          </w:p>
        </w:tc>
        <w:tc>
          <w:tcPr>
            <w:tcW w:w="1748" w:type="dxa"/>
            <w:tcBorders>
              <w:top w:val="nil"/>
              <w:left w:val="single" w:sz="4" w:space="0" w:color="808080"/>
              <w:bottom w:val="nil"/>
              <w:right w:val="single" w:sz="4" w:space="0" w:color="808080"/>
            </w:tcBorders>
            <w:shd w:val="clear" w:color="auto" w:fill="auto"/>
            <w:vAlign w:val="center"/>
          </w:tcPr>
          <w:p w14:paraId="099CBEB0" w14:textId="77777777" w:rsidR="00373904" w:rsidRPr="00060165" w:rsidRDefault="00373904" w:rsidP="00373904">
            <w:pPr>
              <w:pStyle w:val="EYBulletedList1"/>
              <w:numPr>
                <w:ilvl w:val="0"/>
                <w:numId w:val="0"/>
              </w:numPr>
              <w:spacing w:beforeLines="20" w:before="48" w:afterLines="20" w:after="48"/>
              <w:jc w:val="center"/>
              <w:rPr>
                <w:rFonts w:eastAsia="Calibri"/>
                <w:sz w:val="18"/>
                <w:szCs w:val="18"/>
                <w:lang w:val="pl-PL"/>
              </w:rPr>
            </w:pPr>
            <w:r w:rsidRPr="00060165">
              <w:rPr>
                <w:rFonts w:eastAsia="Calibri"/>
                <w:sz w:val="18"/>
                <w:szCs w:val="18"/>
                <w:lang w:val="pl-PL"/>
              </w:rPr>
              <w:t>4,9</w:t>
            </w:r>
          </w:p>
        </w:tc>
        <w:tc>
          <w:tcPr>
            <w:tcW w:w="1748" w:type="dxa"/>
            <w:tcBorders>
              <w:top w:val="nil"/>
              <w:left w:val="single" w:sz="4" w:space="0" w:color="808080"/>
              <w:bottom w:val="nil"/>
              <w:right w:val="single" w:sz="4" w:space="0" w:color="808080"/>
            </w:tcBorders>
            <w:shd w:val="clear" w:color="auto" w:fill="auto"/>
            <w:vAlign w:val="center"/>
          </w:tcPr>
          <w:p w14:paraId="5D4C1657" w14:textId="77777777" w:rsidR="00373904" w:rsidRPr="00060165" w:rsidRDefault="00373904" w:rsidP="00373904">
            <w:pPr>
              <w:pStyle w:val="EYBulletedList1"/>
              <w:numPr>
                <w:ilvl w:val="0"/>
                <w:numId w:val="0"/>
              </w:numPr>
              <w:spacing w:beforeLines="20" w:before="48" w:afterLines="20" w:after="48"/>
              <w:jc w:val="center"/>
              <w:rPr>
                <w:rFonts w:eastAsia="Calibri"/>
                <w:sz w:val="18"/>
                <w:szCs w:val="18"/>
                <w:lang w:val="pl-PL"/>
              </w:rPr>
            </w:pPr>
            <w:r w:rsidRPr="00060165">
              <w:rPr>
                <w:rFonts w:eastAsia="Calibri"/>
                <w:sz w:val="18"/>
                <w:szCs w:val="18"/>
                <w:lang w:val="pl-PL"/>
              </w:rPr>
              <w:t>4,2</w:t>
            </w:r>
          </w:p>
        </w:tc>
        <w:tc>
          <w:tcPr>
            <w:tcW w:w="1748" w:type="dxa"/>
            <w:tcBorders>
              <w:top w:val="nil"/>
              <w:left w:val="single" w:sz="4" w:space="0" w:color="808080"/>
              <w:bottom w:val="nil"/>
            </w:tcBorders>
            <w:shd w:val="clear" w:color="auto" w:fill="auto"/>
          </w:tcPr>
          <w:p w14:paraId="4B01EE7B"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p>
        </w:tc>
      </w:tr>
      <w:tr w:rsidR="00373904" w:rsidRPr="00BC4357" w14:paraId="03101B0A" w14:textId="77777777" w:rsidTr="00FB74AE">
        <w:tc>
          <w:tcPr>
            <w:tcW w:w="3828" w:type="dxa"/>
            <w:tcBorders>
              <w:top w:val="nil"/>
              <w:bottom w:val="nil"/>
              <w:right w:val="single" w:sz="4" w:space="0" w:color="808080"/>
            </w:tcBorders>
            <w:shd w:val="clear" w:color="auto" w:fill="F2F2F2" w:themeFill="background1" w:themeFillShade="F2"/>
            <w:vAlign w:val="center"/>
          </w:tcPr>
          <w:p w14:paraId="7FA9B25A" w14:textId="77777777" w:rsidR="00373904" w:rsidRPr="00BC4357" w:rsidRDefault="00373904" w:rsidP="00373904">
            <w:pPr>
              <w:pStyle w:val="EYBulletedList1"/>
              <w:numPr>
                <w:ilvl w:val="0"/>
                <w:numId w:val="0"/>
              </w:numPr>
              <w:spacing w:beforeLines="20" w:before="48" w:afterLines="20" w:after="48"/>
              <w:rPr>
                <w:rFonts w:eastAsia="Calibri"/>
                <w:sz w:val="18"/>
                <w:szCs w:val="18"/>
                <w:lang w:val="pl-PL"/>
              </w:rPr>
            </w:pPr>
            <w:r w:rsidRPr="00BC4357">
              <w:rPr>
                <w:rFonts w:eastAsia="Calibri"/>
                <w:sz w:val="18"/>
                <w:szCs w:val="18"/>
                <w:lang w:val="pl-PL"/>
              </w:rPr>
              <w:t>Udział  w środkach z NFZ</w:t>
            </w:r>
          </w:p>
        </w:tc>
        <w:tc>
          <w:tcPr>
            <w:tcW w:w="1748" w:type="dxa"/>
            <w:tcBorders>
              <w:top w:val="nil"/>
              <w:left w:val="single" w:sz="4" w:space="0" w:color="808080"/>
              <w:bottom w:val="nil"/>
              <w:right w:val="single" w:sz="4" w:space="0" w:color="808080"/>
            </w:tcBorders>
            <w:shd w:val="clear" w:color="auto" w:fill="auto"/>
            <w:vAlign w:val="center"/>
          </w:tcPr>
          <w:p w14:paraId="2C2C361C"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35%</w:t>
            </w:r>
          </w:p>
        </w:tc>
        <w:tc>
          <w:tcPr>
            <w:tcW w:w="1748" w:type="dxa"/>
            <w:tcBorders>
              <w:top w:val="nil"/>
              <w:left w:val="single" w:sz="4" w:space="0" w:color="808080"/>
              <w:bottom w:val="nil"/>
              <w:right w:val="single" w:sz="4" w:space="0" w:color="808080"/>
            </w:tcBorders>
            <w:shd w:val="clear" w:color="auto" w:fill="auto"/>
            <w:vAlign w:val="center"/>
          </w:tcPr>
          <w:p w14:paraId="37249D20"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sidRPr="00BC4357">
              <w:rPr>
                <w:rFonts w:eastAsia="Calibri"/>
                <w:sz w:val="18"/>
                <w:szCs w:val="18"/>
                <w:lang w:val="pl-PL"/>
              </w:rPr>
              <w:t>65%</w:t>
            </w:r>
          </w:p>
        </w:tc>
        <w:tc>
          <w:tcPr>
            <w:tcW w:w="1748" w:type="dxa"/>
            <w:tcBorders>
              <w:top w:val="nil"/>
              <w:left w:val="single" w:sz="4" w:space="0" w:color="808080"/>
              <w:bottom w:val="nil"/>
            </w:tcBorders>
            <w:shd w:val="clear" w:color="auto" w:fill="auto"/>
          </w:tcPr>
          <w:p w14:paraId="12AC9D02" w14:textId="77777777" w:rsidR="00373904" w:rsidRPr="00BC4357" w:rsidRDefault="00373904" w:rsidP="00373904">
            <w:pPr>
              <w:pStyle w:val="EYBulletedList1"/>
              <w:numPr>
                <w:ilvl w:val="0"/>
                <w:numId w:val="0"/>
              </w:numPr>
              <w:spacing w:beforeLines="20" w:before="48" w:afterLines="20" w:after="48"/>
              <w:jc w:val="center"/>
              <w:rPr>
                <w:rFonts w:eastAsia="Calibri"/>
                <w:sz w:val="18"/>
                <w:szCs w:val="18"/>
                <w:lang w:val="pl-PL"/>
              </w:rPr>
            </w:pPr>
            <w:r>
              <w:rPr>
                <w:rFonts w:eastAsia="Calibri"/>
                <w:sz w:val="18"/>
                <w:szCs w:val="18"/>
                <w:lang w:val="pl-PL"/>
              </w:rPr>
              <w:t>100%</w:t>
            </w:r>
          </w:p>
        </w:tc>
      </w:tr>
    </w:tbl>
    <w:p w14:paraId="1BEA02C9" w14:textId="77777777" w:rsidR="003A357B" w:rsidRPr="00A81925" w:rsidRDefault="00A81925" w:rsidP="004E62AC">
      <w:pPr>
        <w:pStyle w:val="EYBulletedList1"/>
        <w:numPr>
          <w:ilvl w:val="0"/>
          <w:numId w:val="0"/>
        </w:numPr>
        <w:jc w:val="both"/>
        <w:rPr>
          <w:rFonts w:eastAsia="Calibri"/>
          <w:sz w:val="18"/>
          <w:szCs w:val="18"/>
          <w:lang w:val="pl-PL"/>
        </w:rPr>
      </w:pPr>
      <w:r w:rsidRPr="00A81925">
        <w:rPr>
          <w:rFonts w:eastAsia="Calibri"/>
          <w:sz w:val="18"/>
          <w:szCs w:val="18"/>
          <w:lang w:val="pl-PL"/>
        </w:rPr>
        <w:t xml:space="preserve">Źródło: </w:t>
      </w:r>
      <w:r w:rsidRPr="00A81925">
        <w:rPr>
          <w:sz w:val="18"/>
          <w:szCs w:val="18"/>
          <w:lang w:val="pl-PL"/>
        </w:rPr>
        <w:t>Dane Sekcji Nefrologicznej Izby Gospodarczej Medycyna Polska (Nefron) – prezentacja z XII Krakowskich Dni Dializoterapii, D.</w:t>
      </w:r>
      <w:r w:rsidR="00BC4357">
        <w:rPr>
          <w:sz w:val="18"/>
          <w:szCs w:val="18"/>
          <w:lang w:val="pl-PL"/>
        </w:rPr>
        <w:t xml:space="preserve"> </w:t>
      </w:r>
      <w:r w:rsidRPr="00A81925">
        <w:rPr>
          <w:sz w:val="18"/>
          <w:szCs w:val="18"/>
          <w:lang w:val="pl-PL"/>
        </w:rPr>
        <w:t>Aksamit, 09.2016</w:t>
      </w:r>
    </w:p>
    <w:p w14:paraId="7B799CAE" w14:textId="77777777" w:rsidR="002A2DDD" w:rsidRPr="00A81925" w:rsidRDefault="00123088" w:rsidP="002A2DDD">
      <w:pPr>
        <w:pStyle w:val="EYHeading4"/>
        <w:rPr>
          <w:rFonts w:eastAsia="Calibri"/>
          <w:color w:val="000000" w:themeColor="text1"/>
          <w:lang w:val="pl-PL"/>
        </w:rPr>
      </w:pPr>
      <w:bookmarkStart w:id="90" w:name="_Toc486537928"/>
      <w:r>
        <w:rPr>
          <w:rFonts w:eastAsia="Calibri"/>
          <w:color w:val="000000" w:themeColor="text1"/>
          <w:lang w:val="pl-PL"/>
        </w:rPr>
        <w:t>Kadry medyczne</w:t>
      </w:r>
      <w:bookmarkEnd w:id="90"/>
    </w:p>
    <w:p w14:paraId="0E48954B" w14:textId="77777777" w:rsidR="003B6BF4" w:rsidRDefault="00123088" w:rsidP="003B6BF4">
      <w:pPr>
        <w:rPr>
          <w:rFonts w:eastAsia="Calibri"/>
          <w:color w:val="000000" w:themeColor="text1"/>
          <w:lang w:val="pl-PL"/>
        </w:rPr>
      </w:pPr>
      <w:r>
        <w:rPr>
          <w:rFonts w:eastAsia="Calibri"/>
          <w:color w:val="000000" w:themeColor="text1"/>
          <w:lang w:val="pl-PL"/>
        </w:rPr>
        <w:t>N</w:t>
      </w:r>
      <w:r w:rsidRPr="00123088">
        <w:rPr>
          <w:rFonts w:eastAsia="Calibri"/>
          <w:color w:val="000000" w:themeColor="text1"/>
          <w:lang w:val="pl-PL"/>
        </w:rPr>
        <w:t>a koniec lute</w:t>
      </w:r>
      <w:r>
        <w:rPr>
          <w:rFonts w:eastAsia="Calibri"/>
          <w:color w:val="000000" w:themeColor="text1"/>
          <w:lang w:val="pl-PL"/>
        </w:rPr>
        <w:t xml:space="preserve">go 2016 roku zarejestrowanych </w:t>
      </w:r>
      <w:r w:rsidRPr="00123088">
        <w:rPr>
          <w:rFonts w:eastAsia="Calibri"/>
          <w:color w:val="000000" w:themeColor="text1"/>
          <w:lang w:val="pl-PL"/>
        </w:rPr>
        <w:t xml:space="preserve">w Polsce </w:t>
      </w:r>
      <w:r>
        <w:rPr>
          <w:rFonts w:eastAsia="Calibri"/>
          <w:color w:val="000000" w:themeColor="text1"/>
          <w:lang w:val="pl-PL"/>
        </w:rPr>
        <w:t xml:space="preserve">było </w:t>
      </w:r>
      <w:r w:rsidRPr="00123088">
        <w:rPr>
          <w:rFonts w:eastAsia="Calibri"/>
          <w:color w:val="000000" w:themeColor="text1"/>
          <w:lang w:val="pl-PL"/>
        </w:rPr>
        <w:t xml:space="preserve">1228 lekarzy </w:t>
      </w:r>
      <w:r w:rsidR="00C411A2">
        <w:rPr>
          <w:rFonts w:eastAsia="Calibri"/>
          <w:color w:val="000000" w:themeColor="text1"/>
          <w:lang w:val="pl-PL"/>
        </w:rPr>
        <w:t xml:space="preserve">ze specjalizacją </w:t>
      </w:r>
      <w:r w:rsidR="00C42037">
        <w:rPr>
          <w:rFonts w:eastAsia="Calibri"/>
          <w:color w:val="000000" w:themeColor="text1"/>
          <w:lang w:val="pl-PL"/>
        </w:rPr>
        <w:t xml:space="preserve">w zakresie </w:t>
      </w:r>
      <w:r w:rsidRPr="00123088">
        <w:rPr>
          <w:rFonts w:eastAsia="Calibri"/>
          <w:color w:val="000000" w:themeColor="text1"/>
          <w:lang w:val="pl-PL"/>
        </w:rPr>
        <w:t>nefrolog</w:t>
      </w:r>
      <w:r w:rsidR="00C42037">
        <w:rPr>
          <w:rFonts w:eastAsia="Calibri"/>
          <w:color w:val="000000" w:themeColor="text1"/>
          <w:lang w:val="pl-PL"/>
        </w:rPr>
        <w:t xml:space="preserve">ii </w:t>
      </w:r>
      <w:r w:rsidRPr="005167E1">
        <w:rPr>
          <w:rStyle w:val="Odwoanieprzypisudolnego"/>
          <w:rFonts w:eastAsia="Calibri"/>
          <w:color w:val="000000" w:themeColor="text1"/>
          <w:sz w:val="22"/>
          <w:lang w:val="pl-PL"/>
        </w:rPr>
        <w:footnoteReference w:id="62"/>
      </w:r>
      <w:r w:rsidRPr="00123088">
        <w:rPr>
          <w:rFonts w:eastAsia="Calibri"/>
          <w:color w:val="000000" w:themeColor="text1"/>
          <w:lang w:val="pl-PL"/>
        </w:rPr>
        <w:t>.</w:t>
      </w:r>
      <w:r>
        <w:rPr>
          <w:rFonts w:eastAsia="Calibri"/>
          <w:color w:val="000000" w:themeColor="text1"/>
          <w:lang w:val="pl-PL"/>
        </w:rPr>
        <w:t xml:space="preserve"> Biorąc pod uwagę</w:t>
      </w:r>
      <w:r w:rsidR="00C411A2">
        <w:rPr>
          <w:rFonts w:eastAsia="Calibri"/>
          <w:color w:val="000000" w:themeColor="text1"/>
          <w:lang w:val="pl-PL"/>
        </w:rPr>
        <w:t xml:space="preserve"> populację </w:t>
      </w:r>
      <w:r>
        <w:rPr>
          <w:rFonts w:eastAsia="Calibri"/>
          <w:color w:val="000000" w:themeColor="text1"/>
          <w:lang w:val="pl-PL"/>
        </w:rPr>
        <w:t xml:space="preserve">chorych na przewlekłą chorobę nerek </w:t>
      </w:r>
      <w:r w:rsidR="00C411A2">
        <w:rPr>
          <w:rFonts w:eastAsia="Calibri"/>
          <w:color w:val="000000" w:themeColor="text1"/>
          <w:lang w:val="pl-PL"/>
        </w:rPr>
        <w:t xml:space="preserve">w liczbie powyżej </w:t>
      </w:r>
      <w:r>
        <w:rPr>
          <w:rFonts w:eastAsia="Calibri"/>
          <w:color w:val="000000" w:themeColor="text1"/>
          <w:lang w:val="pl-PL"/>
        </w:rPr>
        <w:t>4</w:t>
      </w:r>
      <w:r w:rsidR="00C411A2">
        <w:rPr>
          <w:rFonts w:eastAsia="Calibri"/>
          <w:color w:val="000000" w:themeColor="text1"/>
          <w:lang w:val="pl-PL"/>
        </w:rPr>
        <w:t> </w:t>
      </w:r>
      <w:r>
        <w:rPr>
          <w:rFonts w:eastAsia="Calibri"/>
          <w:color w:val="000000" w:themeColor="text1"/>
          <w:lang w:val="pl-PL"/>
        </w:rPr>
        <w:t xml:space="preserve">mln </w:t>
      </w:r>
      <w:r w:rsidR="00C411A2">
        <w:rPr>
          <w:rFonts w:eastAsia="Calibri"/>
          <w:color w:val="000000" w:themeColor="text1"/>
          <w:lang w:val="pl-PL"/>
        </w:rPr>
        <w:t>(</w:t>
      </w:r>
      <w:r>
        <w:rPr>
          <w:rFonts w:eastAsia="Calibri"/>
          <w:color w:val="000000" w:themeColor="text1"/>
          <w:lang w:val="pl-PL"/>
        </w:rPr>
        <w:t>z czego 20 tys</w:t>
      </w:r>
      <w:r w:rsidR="0076185D">
        <w:rPr>
          <w:rFonts w:eastAsia="Calibri"/>
          <w:color w:val="000000" w:themeColor="text1"/>
          <w:lang w:val="pl-PL"/>
        </w:rPr>
        <w:t>.</w:t>
      </w:r>
      <w:r>
        <w:rPr>
          <w:rFonts w:eastAsia="Calibri"/>
          <w:color w:val="000000" w:themeColor="text1"/>
          <w:lang w:val="pl-PL"/>
        </w:rPr>
        <w:t xml:space="preserve"> to pacjenci dializowani, a pacjenci w stadium G4 to około 100 tys</w:t>
      </w:r>
      <w:r w:rsidR="0076185D">
        <w:rPr>
          <w:rFonts w:eastAsia="Calibri"/>
          <w:color w:val="000000" w:themeColor="text1"/>
          <w:lang w:val="pl-PL"/>
        </w:rPr>
        <w:t>.</w:t>
      </w:r>
      <w:r>
        <w:rPr>
          <w:rFonts w:eastAsia="Calibri"/>
          <w:color w:val="000000" w:themeColor="text1"/>
          <w:lang w:val="pl-PL"/>
        </w:rPr>
        <w:t xml:space="preserve"> </w:t>
      </w:r>
      <w:r w:rsidRPr="00123088">
        <w:rPr>
          <w:rFonts w:eastAsia="Calibri"/>
          <w:color w:val="000000" w:themeColor="text1"/>
          <w:lang w:val="pl-PL"/>
        </w:rPr>
        <w:t>chorych</w:t>
      </w:r>
      <w:r w:rsidR="00C411A2">
        <w:rPr>
          <w:rFonts w:eastAsia="Calibri"/>
          <w:color w:val="000000" w:themeColor="text1"/>
          <w:lang w:val="pl-PL"/>
        </w:rPr>
        <w:t>)</w:t>
      </w:r>
      <w:r w:rsidRPr="00123088">
        <w:rPr>
          <w:rFonts w:eastAsia="Calibri"/>
          <w:color w:val="000000" w:themeColor="text1"/>
          <w:lang w:val="pl-PL"/>
        </w:rPr>
        <w:t xml:space="preserve">, liczba specjalistów </w:t>
      </w:r>
      <w:r w:rsidR="00C411A2">
        <w:rPr>
          <w:rFonts w:eastAsia="Calibri"/>
          <w:color w:val="000000" w:themeColor="text1"/>
          <w:lang w:val="pl-PL"/>
        </w:rPr>
        <w:t xml:space="preserve">wydaje się </w:t>
      </w:r>
      <w:r w:rsidR="002C201D">
        <w:rPr>
          <w:rFonts w:eastAsia="Calibri"/>
          <w:color w:val="000000" w:themeColor="text1"/>
          <w:lang w:val="pl-PL"/>
        </w:rPr>
        <w:t xml:space="preserve">być </w:t>
      </w:r>
      <w:r w:rsidR="00C411A2">
        <w:rPr>
          <w:rFonts w:eastAsia="Calibri"/>
          <w:color w:val="000000" w:themeColor="text1"/>
          <w:lang w:val="pl-PL"/>
        </w:rPr>
        <w:t>nie</w:t>
      </w:r>
      <w:r w:rsidRPr="00123088">
        <w:rPr>
          <w:rFonts w:eastAsia="Calibri"/>
          <w:color w:val="000000" w:themeColor="text1"/>
          <w:lang w:val="pl-PL"/>
        </w:rPr>
        <w:t>wystarczająca. Ponadto</w:t>
      </w:r>
      <w:r w:rsidR="00C411A2">
        <w:rPr>
          <w:rFonts w:eastAsia="Calibri"/>
          <w:color w:val="000000" w:themeColor="text1"/>
          <w:lang w:val="pl-PL"/>
        </w:rPr>
        <w:t xml:space="preserve">, w zakresie kształcenia specjalistów nie przewiduje się relatywnego zwiększenia liczby nefrologów. </w:t>
      </w:r>
      <w:r w:rsidR="006F520B">
        <w:rPr>
          <w:rFonts w:eastAsia="Calibri"/>
          <w:color w:val="000000" w:themeColor="text1"/>
          <w:lang w:val="pl-PL"/>
        </w:rPr>
        <w:t xml:space="preserve">Dodatkowo </w:t>
      </w:r>
      <w:r w:rsidR="00C411A2">
        <w:rPr>
          <w:rFonts w:eastAsia="Calibri"/>
          <w:color w:val="000000" w:themeColor="text1"/>
          <w:lang w:val="pl-PL"/>
        </w:rPr>
        <w:t xml:space="preserve">poziom zabezpieczenia kadrowego jest zagrożony starzejącą się kadrą specjalistów aktualnie sprawujących opiekę nad pacjentami z </w:t>
      </w:r>
      <w:proofErr w:type="spellStart"/>
      <w:r w:rsidR="00C411A2">
        <w:rPr>
          <w:rFonts w:eastAsia="Calibri"/>
          <w:color w:val="000000" w:themeColor="text1"/>
          <w:lang w:val="pl-PL"/>
        </w:rPr>
        <w:t>PChN</w:t>
      </w:r>
      <w:proofErr w:type="spellEnd"/>
      <w:r w:rsidR="00C411A2">
        <w:rPr>
          <w:rFonts w:eastAsia="Calibri"/>
          <w:color w:val="000000" w:themeColor="text1"/>
          <w:lang w:val="pl-PL"/>
        </w:rPr>
        <w:t xml:space="preserve"> i perspektywą braku zastępowalności lekarzy przechodzących na emeryturę.</w:t>
      </w:r>
    </w:p>
    <w:p w14:paraId="4BDF53DA" w14:textId="5BB8A428" w:rsidR="003B6BF4" w:rsidRPr="00A760E5" w:rsidRDefault="00A760E5" w:rsidP="00AD2FFD">
      <w:pPr>
        <w:rPr>
          <w:rFonts w:eastAsia="Calibri"/>
          <w:color w:val="000000" w:themeColor="text1"/>
          <w:lang w:val="pl-PL"/>
        </w:rPr>
      </w:pPr>
      <w:r>
        <w:rPr>
          <w:rFonts w:eastAsia="Calibri"/>
          <w:color w:val="000000" w:themeColor="text1"/>
          <w:lang w:val="pl-PL"/>
        </w:rPr>
        <w:t>I</w:t>
      </w:r>
      <w:r w:rsidR="00AD2FFD">
        <w:rPr>
          <w:rFonts w:eastAsia="Calibri"/>
          <w:color w:val="000000" w:themeColor="text1"/>
          <w:lang w:val="pl-PL"/>
        </w:rPr>
        <w:t xml:space="preserve">stotną grupą zawodową dla chorych z </w:t>
      </w:r>
      <w:proofErr w:type="spellStart"/>
      <w:r w:rsidR="00AD2FFD">
        <w:rPr>
          <w:rFonts w:eastAsia="Calibri"/>
          <w:color w:val="000000" w:themeColor="text1"/>
          <w:lang w:val="pl-PL"/>
        </w:rPr>
        <w:t>PChN</w:t>
      </w:r>
      <w:proofErr w:type="spellEnd"/>
      <w:r w:rsidR="00AD2FFD">
        <w:rPr>
          <w:rFonts w:eastAsia="Calibri"/>
          <w:color w:val="000000" w:themeColor="text1"/>
          <w:lang w:val="pl-PL"/>
        </w:rPr>
        <w:t xml:space="preserve"> są </w:t>
      </w:r>
      <w:r>
        <w:rPr>
          <w:rFonts w:eastAsia="Calibri"/>
          <w:color w:val="000000" w:themeColor="text1"/>
          <w:lang w:val="pl-PL"/>
        </w:rPr>
        <w:t xml:space="preserve">również </w:t>
      </w:r>
      <w:r w:rsidR="00AD2FFD">
        <w:rPr>
          <w:rFonts w:eastAsia="Calibri"/>
          <w:color w:val="000000" w:themeColor="text1"/>
          <w:lang w:val="pl-PL"/>
        </w:rPr>
        <w:t>pielęgniarki</w:t>
      </w:r>
      <w:r>
        <w:rPr>
          <w:rFonts w:eastAsia="Calibri"/>
          <w:color w:val="000000" w:themeColor="text1"/>
          <w:lang w:val="pl-PL"/>
        </w:rPr>
        <w:t>, a w szczególności pielęgniarki nefrologiczne</w:t>
      </w:r>
      <w:r w:rsidR="00AD2FFD">
        <w:rPr>
          <w:rFonts w:eastAsia="Calibri"/>
          <w:color w:val="000000" w:themeColor="text1"/>
          <w:lang w:val="pl-PL"/>
        </w:rPr>
        <w:t xml:space="preserve">. </w:t>
      </w:r>
      <w:r w:rsidR="003B6BF4" w:rsidRPr="003B6BF4">
        <w:rPr>
          <w:lang w:val="pl-PL"/>
        </w:rPr>
        <w:t>P</w:t>
      </w:r>
      <w:r w:rsidR="003B6BF4">
        <w:rPr>
          <w:lang w:val="pl-PL"/>
        </w:rPr>
        <w:t xml:space="preserve">olskie </w:t>
      </w:r>
      <w:r w:rsidR="003B6BF4" w:rsidRPr="003B6BF4">
        <w:rPr>
          <w:lang w:val="pl-PL"/>
        </w:rPr>
        <w:t>T</w:t>
      </w:r>
      <w:r w:rsidR="003B6BF4">
        <w:rPr>
          <w:lang w:val="pl-PL"/>
        </w:rPr>
        <w:t xml:space="preserve">owarzystwo </w:t>
      </w:r>
      <w:r w:rsidR="003B6BF4" w:rsidRPr="003B6BF4">
        <w:rPr>
          <w:lang w:val="pl-PL"/>
        </w:rPr>
        <w:t>P</w:t>
      </w:r>
      <w:r w:rsidR="003B6BF4">
        <w:rPr>
          <w:lang w:val="pl-PL"/>
        </w:rPr>
        <w:t xml:space="preserve">ielęgniarek </w:t>
      </w:r>
      <w:r w:rsidR="003B6BF4" w:rsidRPr="003B6BF4">
        <w:rPr>
          <w:lang w:val="pl-PL"/>
        </w:rPr>
        <w:t>N</w:t>
      </w:r>
      <w:r w:rsidR="003B6BF4">
        <w:rPr>
          <w:lang w:val="pl-PL"/>
        </w:rPr>
        <w:t>efrologicznych</w:t>
      </w:r>
      <w:r w:rsidR="003B6BF4" w:rsidRPr="003B6BF4">
        <w:rPr>
          <w:lang w:val="pl-PL"/>
        </w:rPr>
        <w:t xml:space="preserve"> zrzesza obecnie około 400 członków pielęgniarek i pielęgniarzy pracujących w obszarze opieki nefrologicznej. </w:t>
      </w:r>
      <w:r w:rsidR="003B6BF4">
        <w:rPr>
          <w:lang w:val="pl-PL"/>
        </w:rPr>
        <w:t>Brakuje natomiast danych</w:t>
      </w:r>
      <w:r w:rsidR="00AD2FFD">
        <w:rPr>
          <w:lang w:val="pl-PL"/>
        </w:rPr>
        <w:t xml:space="preserve"> ogólnopolskich</w:t>
      </w:r>
      <w:r w:rsidR="003B6BF4">
        <w:rPr>
          <w:lang w:val="pl-PL"/>
        </w:rPr>
        <w:t xml:space="preserve"> dotyczących liczby </w:t>
      </w:r>
      <w:r w:rsidR="00AD2FFD">
        <w:rPr>
          <w:lang w:val="pl-PL"/>
        </w:rPr>
        <w:t>osób pracujących w tym zawodzie</w:t>
      </w:r>
      <w:r w:rsidR="003B6BF4" w:rsidRPr="00AD2FFD">
        <w:rPr>
          <w:lang w:val="pl-PL"/>
        </w:rPr>
        <w:t xml:space="preserve">. </w:t>
      </w:r>
      <w:r>
        <w:rPr>
          <w:lang w:val="pl-PL"/>
        </w:rPr>
        <w:t xml:space="preserve">Zgodnie z danymi </w:t>
      </w:r>
      <w:r w:rsidR="00AD2FFD" w:rsidRPr="00AD2FFD">
        <w:rPr>
          <w:lang w:val="pl-PL"/>
        </w:rPr>
        <w:t xml:space="preserve">PTPN </w:t>
      </w:r>
      <w:r>
        <w:rPr>
          <w:lang w:val="pl-PL"/>
        </w:rPr>
        <w:t xml:space="preserve">i na podstawie danych </w:t>
      </w:r>
      <w:r w:rsidR="003B6BF4" w:rsidRPr="00AD2FFD">
        <w:rPr>
          <w:rFonts w:eastAsia="Calibri"/>
          <w:color w:val="000000" w:themeColor="text1"/>
          <w:lang w:val="pl-PL"/>
        </w:rPr>
        <w:t xml:space="preserve">Centrum Kształcenia Podyplomowego Pielęgniarek i Położnych w latach 2007-2017 specjalizację z pielęgniarstwa nefrologicznego ukończyło 668 osób. Aktualnie w </w:t>
      </w:r>
      <w:r w:rsidR="003B6BF4">
        <w:rPr>
          <w:rFonts w:eastAsia="Calibri"/>
          <w:color w:val="000000" w:themeColor="text1"/>
          <w:lang w:val="pl-PL"/>
        </w:rPr>
        <w:t xml:space="preserve">2017 roku </w:t>
      </w:r>
      <w:r w:rsidR="003B6BF4" w:rsidRPr="003B6BF4">
        <w:rPr>
          <w:rFonts w:eastAsia="Calibri"/>
          <w:color w:val="000000" w:themeColor="text1"/>
          <w:lang w:val="pl-PL"/>
        </w:rPr>
        <w:t xml:space="preserve">do egzaminu przygotowuje się ostatnia grupa – 109 pielęgniarek i pielęgniarzy, czyli </w:t>
      </w:r>
      <w:r w:rsidR="003B6BF4">
        <w:rPr>
          <w:rFonts w:eastAsia="Calibri"/>
          <w:color w:val="000000" w:themeColor="text1"/>
          <w:lang w:val="pl-PL"/>
        </w:rPr>
        <w:t xml:space="preserve">w sumie </w:t>
      </w:r>
      <w:r w:rsidR="003B6BF4" w:rsidRPr="003B6BF4">
        <w:rPr>
          <w:rFonts w:eastAsia="Calibri"/>
          <w:color w:val="000000" w:themeColor="text1"/>
          <w:lang w:val="pl-PL"/>
        </w:rPr>
        <w:t xml:space="preserve">777 </w:t>
      </w:r>
      <w:r w:rsidR="00AD2FFD">
        <w:rPr>
          <w:rFonts w:eastAsia="Calibri"/>
          <w:color w:val="000000" w:themeColor="text1"/>
          <w:lang w:val="pl-PL"/>
        </w:rPr>
        <w:t xml:space="preserve">osób </w:t>
      </w:r>
      <w:r w:rsidR="003B6BF4">
        <w:rPr>
          <w:rFonts w:eastAsia="Calibri"/>
          <w:color w:val="000000" w:themeColor="text1"/>
          <w:lang w:val="pl-PL"/>
        </w:rPr>
        <w:t>uzyska taką specjalizację pielęgniarską</w:t>
      </w:r>
      <w:r w:rsidR="00AD2FFD">
        <w:rPr>
          <w:rFonts w:eastAsia="Calibri"/>
          <w:color w:val="000000" w:themeColor="text1"/>
          <w:lang w:val="pl-PL"/>
        </w:rPr>
        <w:t xml:space="preserve"> w ostatnim dziesięcioleciu</w:t>
      </w:r>
      <w:r w:rsidR="003B6BF4">
        <w:rPr>
          <w:rFonts w:eastAsia="Calibri"/>
          <w:color w:val="000000" w:themeColor="text1"/>
          <w:lang w:val="pl-PL"/>
        </w:rPr>
        <w:t xml:space="preserve">. Będzie to ostatnia grupa </w:t>
      </w:r>
      <w:r w:rsidR="003B6BF4">
        <w:rPr>
          <w:rFonts w:eastAsia="Calibri"/>
          <w:color w:val="000000" w:themeColor="text1"/>
          <w:lang w:val="pl-PL"/>
        </w:rPr>
        <w:lastRenderedPageBreak/>
        <w:t xml:space="preserve">pielęgniarek z taką specjalizacją, ponieważ </w:t>
      </w:r>
      <w:r>
        <w:rPr>
          <w:rFonts w:eastAsia="Calibri"/>
          <w:color w:val="000000" w:themeColor="text1"/>
          <w:lang w:val="pl-PL"/>
        </w:rPr>
        <w:t xml:space="preserve">specjalizacja ta </w:t>
      </w:r>
      <w:r w:rsidR="003B6BF4">
        <w:rPr>
          <w:rFonts w:eastAsia="Calibri"/>
          <w:color w:val="000000" w:themeColor="text1"/>
          <w:lang w:val="pl-PL"/>
        </w:rPr>
        <w:t xml:space="preserve">została poddana likwidacji przez Ministerstwo Zdrowia. Z kolei </w:t>
      </w:r>
      <w:r w:rsidR="003B6BF4" w:rsidRPr="003B6BF4">
        <w:rPr>
          <w:rFonts w:eastAsia="Calibri"/>
          <w:color w:val="000000" w:themeColor="text1"/>
          <w:lang w:val="pl-PL"/>
        </w:rPr>
        <w:t>Kurs Kwalifikacyjny z Nefrologii z Dializoterapią dla pielęgniarek ukończyło 2</w:t>
      </w:r>
      <w:r w:rsidR="003B6BF4">
        <w:rPr>
          <w:rFonts w:eastAsia="Calibri"/>
          <w:color w:val="000000" w:themeColor="text1"/>
          <w:lang w:val="pl-PL"/>
        </w:rPr>
        <w:t>346 pielęgniarek i pielęgniarzy (</w:t>
      </w:r>
      <w:r w:rsidR="003B6BF4" w:rsidRPr="003B6BF4">
        <w:rPr>
          <w:rFonts w:eastAsia="Calibri"/>
          <w:color w:val="000000" w:themeColor="text1"/>
          <w:lang w:val="pl-PL"/>
        </w:rPr>
        <w:t>w latach 2000-2016</w:t>
      </w:r>
      <w:r w:rsidR="003B6BF4">
        <w:rPr>
          <w:rFonts w:eastAsia="Calibri"/>
          <w:color w:val="000000" w:themeColor="text1"/>
          <w:lang w:val="pl-PL"/>
        </w:rPr>
        <w:t>)</w:t>
      </w:r>
      <w:r w:rsidR="003B6BF4">
        <w:rPr>
          <w:rStyle w:val="Odwoanieprzypisudolnego"/>
          <w:rFonts w:eastAsia="Calibri"/>
          <w:color w:val="000000" w:themeColor="text1"/>
          <w:lang w:val="pl-PL"/>
        </w:rPr>
        <w:footnoteReference w:id="63"/>
      </w:r>
      <w:r w:rsidR="003B6BF4">
        <w:rPr>
          <w:rFonts w:eastAsia="Calibri"/>
          <w:color w:val="000000" w:themeColor="text1"/>
          <w:lang w:val="pl-PL"/>
        </w:rPr>
        <w:t>.</w:t>
      </w:r>
    </w:p>
    <w:p w14:paraId="619A7058" w14:textId="77777777" w:rsidR="00C411A2" w:rsidRDefault="009847B3" w:rsidP="00C411A2">
      <w:pPr>
        <w:rPr>
          <w:rFonts w:eastAsia="Calibri"/>
          <w:lang w:val="pl-PL"/>
        </w:rPr>
      </w:pPr>
      <w:r>
        <w:rPr>
          <w:rFonts w:eastAsia="Calibri"/>
          <w:color w:val="000000" w:themeColor="text1"/>
          <w:lang w:val="pl-PL"/>
        </w:rPr>
        <w:t>Leczenie pacjentów z przewlekłą chorobą nerek</w:t>
      </w:r>
      <w:r w:rsidR="00C411A2">
        <w:rPr>
          <w:rFonts w:eastAsia="Calibri"/>
          <w:color w:val="000000" w:themeColor="text1"/>
          <w:lang w:val="pl-PL"/>
        </w:rPr>
        <w:t xml:space="preserve">, oprócz </w:t>
      </w:r>
      <w:r w:rsidR="00443470">
        <w:rPr>
          <w:rFonts w:eastAsia="Calibri"/>
          <w:color w:val="000000" w:themeColor="text1"/>
          <w:lang w:val="pl-PL"/>
        </w:rPr>
        <w:t>podstawowego zabezpieczenia dodatkowego w postaci opieki np. kardiologicznej czy diabetologicznej,</w:t>
      </w:r>
      <w:r>
        <w:rPr>
          <w:rFonts w:eastAsia="Calibri"/>
          <w:color w:val="000000" w:themeColor="text1"/>
          <w:lang w:val="pl-PL"/>
        </w:rPr>
        <w:t xml:space="preserve"> powinno być uzupełnione </w:t>
      </w:r>
      <w:r w:rsidR="00443470">
        <w:rPr>
          <w:rFonts w:eastAsia="Calibri"/>
          <w:color w:val="000000" w:themeColor="text1"/>
          <w:lang w:val="pl-PL"/>
        </w:rPr>
        <w:t xml:space="preserve">również </w:t>
      </w:r>
      <w:r>
        <w:rPr>
          <w:rFonts w:eastAsia="Calibri"/>
          <w:color w:val="000000" w:themeColor="text1"/>
          <w:lang w:val="pl-PL"/>
        </w:rPr>
        <w:t xml:space="preserve">poradami innych specjalistów, takich jak psycholog czy dietetyk. Dostęp do takich porad jest ograniczony, a świadczenia nie są </w:t>
      </w:r>
      <w:r w:rsidR="00443470">
        <w:rPr>
          <w:rFonts w:eastAsia="Calibri"/>
          <w:lang w:val="pl-PL"/>
        </w:rPr>
        <w:t>aktualnie udzielane w ramach świadczeń gwarantowanych ze środków publicznych.</w:t>
      </w:r>
      <w:r w:rsidR="00C411A2">
        <w:rPr>
          <w:rFonts w:eastAsia="Calibri"/>
          <w:lang w:val="pl-PL"/>
        </w:rPr>
        <w:t xml:space="preserve"> </w:t>
      </w:r>
    </w:p>
    <w:p w14:paraId="7CD4BA2E" w14:textId="77777777" w:rsidR="00626AC8" w:rsidRPr="00123088" w:rsidRDefault="00626AC8" w:rsidP="001845C8">
      <w:pPr>
        <w:rPr>
          <w:rFonts w:eastAsia="Calibri"/>
          <w:color w:val="000000" w:themeColor="text1"/>
          <w:lang w:val="pl-PL"/>
        </w:rPr>
      </w:pPr>
    </w:p>
    <w:p w14:paraId="07F76B3A" w14:textId="77777777" w:rsidR="00626AC8" w:rsidRPr="00626AC8" w:rsidRDefault="00626AC8" w:rsidP="00626AC8">
      <w:pPr>
        <w:rPr>
          <w:rFonts w:eastAsia="Calibri"/>
          <w:color w:val="FF0000"/>
          <w:lang w:val="pl-PL"/>
        </w:rPr>
      </w:pPr>
    </w:p>
    <w:p w14:paraId="39D954EE" w14:textId="77777777" w:rsidR="002A2DDD" w:rsidRDefault="002A2DDD" w:rsidP="002A2DDD">
      <w:pPr>
        <w:pStyle w:val="EYHeading1"/>
        <w:rPr>
          <w:rFonts w:eastAsia="Calibri"/>
          <w:lang w:val="pl-PL"/>
        </w:rPr>
      </w:pPr>
      <w:bookmarkStart w:id="91" w:name="_Toc477868990"/>
      <w:bookmarkStart w:id="92" w:name="_Toc477900939"/>
      <w:bookmarkStart w:id="93" w:name="_Toc477950212"/>
      <w:bookmarkStart w:id="94" w:name="_Toc477951192"/>
      <w:bookmarkStart w:id="95" w:name="_Toc477951330"/>
      <w:bookmarkStart w:id="96" w:name="_Toc477951468"/>
      <w:bookmarkStart w:id="97" w:name="_Toc486537929"/>
      <w:bookmarkEnd w:id="91"/>
      <w:bookmarkEnd w:id="92"/>
      <w:bookmarkEnd w:id="93"/>
      <w:bookmarkEnd w:id="94"/>
      <w:bookmarkEnd w:id="95"/>
      <w:bookmarkEnd w:id="96"/>
      <w:r w:rsidRPr="002A2DDD">
        <w:rPr>
          <w:rFonts w:eastAsia="Calibri"/>
          <w:lang w:val="pl-PL"/>
        </w:rPr>
        <w:lastRenderedPageBreak/>
        <w:t>Propozycja rozwiązania</w:t>
      </w:r>
      <w:r w:rsidR="00742D29">
        <w:rPr>
          <w:rFonts w:eastAsia="Calibri"/>
          <w:lang w:val="pl-PL"/>
        </w:rPr>
        <w:t xml:space="preserve"> – proponowany model </w:t>
      </w:r>
      <w:r w:rsidR="00B67BC3">
        <w:rPr>
          <w:rFonts w:eastAsia="Calibri"/>
          <w:lang w:val="pl-PL"/>
        </w:rPr>
        <w:t xml:space="preserve">koordynowanej </w:t>
      </w:r>
      <w:r w:rsidR="00742D29">
        <w:rPr>
          <w:rFonts w:eastAsia="Calibri"/>
          <w:lang w:val="pl-PL"/>
        </w:rPr>
        <w:t xml:space="preserve">opieki nad pacjentem w zaawansowanym stadium </w:t>
      </w:r>
      <w:proofErr w:type="spellStart"/>
      <w:r w:rsidR="00742D29">
        <w:rPr>
          <w:rFonts w:eastAsia="Calibri"/>
          <w:lang w:val="pl-PL"/>
        </w:rPr>
        <w:t>PChN</w:t>
      </w:r>
      <w:bookmarkEnd w:id="97"/>
      <w:proofErr w:type="spellEnd"/>
    </w:p>
    <w:p w14:paraId="619C0587" w14:textId="77777777" w:rsidR="004F5790" w:rsidRPr="004E62AC" w:rsidRDefault="00EC4ECF" w:rsidP="004F5790">
      <w:pPr>
        <w:pStyle w:val="EYHeading2"/>
        <w:rPr>
          <w:rFonts w:eastAsia="Calibri"/>
          <w:lang w:val="pl-PL"/>
        </w:rPr>
      </w:pPr>
      <w:bookmarkStart w:id="98" w:name="_Toc486537930"/>
      <w:r w:rsidRPr="004E62AC">
        <w:rPr>
          <w:rFonts w:eastAsia="Calibri"/>
          <w:lang w:val="pl-PL"/>
        </w:rPr>
        <w:t xml:space="preserve">Cel </w:t>
      </w:r>
      <w:r w:rsidR="009F21D5" w:rsidRPr="004E62AC">
        <w:rPr>
          <w:rFonts w:eastAsia="Calibri"/>
          <w:lang w:val="pl-PL"/>
        </w:rPr>
        <w:t>główny</w:t>
      </w:r>
      <w:bookmarkEnd w:id="98"/>
    </w:p>
    <w:p w14:paraId="398CE86E" w14:textId="77777777" w:rsidR="00B67BC3" w:rsidRDefault="00CE79B8" w:rsidP="00AA4496">
      <w:pPr>
        <w:rPr>
          <w:rFonts w:eastAsia="Calibri"/>
          <w:lang w:val="pl-PL"/>
        </w:rPr>
      </w:pPr>
      <w:r>
        <w:rPr>
          <w:rFonts w:eastAsia="Calibri"/>
          <w:lang w:val="pl-PL"/>
        </w:rPr>
        <w:t>G</w:t>
      </w:r>
      <w:r w:rsidR="00AA4496">
        <w:rPr>
          <w:rFonts w:eastAsia="Calibri"/>
          <w:lang w:val="pl-PL"/>
        </w:rPr>
        <w:t xml:space="preserve">łównym </w:t>
      </w:r>
      <w:r>
        <w:rPr>
          <w:rFonts w:eastAsia="Calibri"/>
          <w:lang w:val="pl-PL"/>
        </w:rPr>
        <w:t xml:space="preserve">celem i założeniem </w:t>
      </w:r>
      <w:r w:rsidR="00AA4496">
        <w:rPr>
          <w:rFonts w:eastAsia="Calibri"/>
          <w:lang w:val="pl-PL"/>
        </w:rPr>
        <w:t xml:space="preserve">dla opracowania modelu </w:t>
      </w:r>
      <w:r w:rsidR="00B67BC3">
        <w:rPr>
          <w:rFonts w:eastAsia="Calibri"/>
          <w:lang w:val="pl-PL"/>
        </w:rPr>
        <w:t xml:space="preserve">koordynowanej opieki nad pacjentem w zaawansowanym stadium przewlekłej choroby nerek </w:t>
      </w:r>
      <w:r w:rsidR="00AA4496">
        <w:rPr>
          <w:rFonts w:eastAsia="Calibri"/>
          <w:lang w:val="pl-PL"/>
        </w:rPr>
        <w:t>jest</w:t>
      </w:r>
      <w:r w:rsidR="00B67BC3">
        <w:rPr>
          <w:rFonts w:eastAsia="Calibri"/>
          <w:lang w:val="pl-PL"/>
        </w:rPr>
        <w:t>:</w:t>
      </w:r>
    </w:p>
    <w:p w14:paraId="6DBD9C60" w14:textId="77777777" w:rsidR="00B67BC3" w:rsidRPr="00CE4DC8" w:rsidRDefault="00B67BC3" w:rsidP="00F84B72">
      <w:pPr>
        <w:pStyle w:val="EYBulletedList1"/>
        <w:numPr>
          <w:ilvl w:val="0"/>
          <w:numId w:val="11"/>
        </w:numPr>
        <w:ind w:left="289" w:hanging="289"/>
        <w:jc w:val="both"/>
        <w:rPr>
          <w:rFonts w:eastAsia="Calibri"/>
          <w:lang w:val="pl-PL"/>
        </w:rPr>
      </w:pPr>
      <w:r w:rsidRPr="004E62AC">
        <w:rPr>
          <w:rFonts w:eastAsia="Calibri"/>
          <w:sz w:val="22"/>
          <w:lang w:val="pl-PL"/>
        </w:rPr>
        <w:t>poprawa</w:t>
      </w:r>
      <w:r w:rsidR="00AA4496" w:rsidRPr="004E62AC">
        <w:rPr>
          <w:rFonts w:eastAsia="Calibri"/>
          <w:sz w:val="22"/>
          <w:lang w:val="pl-PL"/>
        </w:rPr>
        <w:t xml:space="preserve"> jakości opieki </w:t>
      </w:r>
      <w:r w:rsidR="00911438">
        <w:rPr>
          <w:rFonts w:eastAsia="Calibri"/>
          <w:sz w:val="22"/>
          <w:lang w:val="pl-PL"/>
        </w:rPr>
        <w:t>i wyników leczenia</w:t>
      </w:r>
    </w:p>
    <w:p w14:paraId="1E24F59B" w14:textId="77777777" w:rsidR="00B67BC3" w:rsidRDefault="00B67BC3" w:rsidP="00AA4496">
      <w:pPr>
        <w:rPr>
          <w:rFonts w:eastAsia="Calibri"/>
          <w:lang w:val="pl-PL"/>
        </w:rPr>
      </w:pPr>
      <w:r>
        <w:rPr>
          <w:rFonts w:eastAsia="Calibri"/>
          <w:lang w:val="pl-PL"/>
        </w:rPr>
        <w:t xml:space="preserve">oraz </w:t>
      </w:r>
    </w:p>
    <w:p w14:paraId="0AEEEFFD" w14:textId="24418AEA" w:rsidR="00B67BC3" w:rsidRPr="00CE4DC8" w:rsidRDefault="00B67BC3" w:rsidP="00F84B72">
      <w:pPr>
        <w:pStyle w:val="EYBulletedList1"/>
        <w:numPr>
          <w:ilvl w:val="0"/>
          <w:numId w:val="11"/>
        </w:numPr>
        <w:ind w:left="289" w:hanging="289"/>
        <w:jc w:val="both"/>
        <w:rPr>
          <w:rFonts w:eastAsia="Calibri"/>
          <w:lang w:val="pl-PL"/>
        </w:rPr>
      </w:pPr>
      <w:r w:rsidRPr="004E62AC">
        <w:rPr>
          <w:rFonts w:eastAsia="Calibri"/>
          <w:sz w:val="22"/>
          <w:lang w:val="pl-PL"/>
        </w:rPr>
        <w:t xml:space="preserve">poprawa dostępności świadczeń niezbędnych do </w:t>
      </w:r>
      <w:r w:rsidR="00392AC9">
        <w:rPr>
          <w:rFonts w:eastAsia="Calibri"/>
          <w:sz w:val="22"/>
          <w:lang w:val="pl-PL"/>
        </w:rPr>
        <w:t>zmniejszenia liczby powikłań w zaawansowanych stadiach przewlekłej choroby nerek</w:t>
      </w:r>
      <w:r w:rsidRPr="004E62AC">
        <w:rPr>
          <w:rFonts w:eastAsia="Calibri"/>
          <w:sz w:val="22"/>
          <w:lang w:val="pl-PL"/>
        </w:rPr>
        <w:t xml:space="preserve"> </w:t>
      </w:r>
    </w:p>
    <w:p w14:paraId="0B7964A0" w14:textId="7A948182" w:rsidR="00911438" w:rsidRDefault="00160AEC" w:rsidP="00AA4496">
      <w:pPr>
        <w:rPr>
          <w:rFonts w:eastAsia="Calibri"/>
          <w:lang w:val="pl-PL"/>
        </w:rPr>
      </w:pPr>
      <w:r>
        <w:rPr>
          <w:rFonts w:eastAsia="Calibri"/>
          <w:lang w:val="pl-PL"/>
        </w:rPr>
        <w:t>po</w:t>
      </w:r>
      <w:r w:rsidR="00AA4496">
        <w:rPr>
          <w:rFonts w:eastAsia="Calibri"/>
          <w:lang w:val="pl-PL"/>
        </w:rPr>
        <w:t>przez reorganizację tej opieki</w:t>
      </w:r>
      <w:r w:rsidR="00911438">
        <w:rPr>
          <w:rFonts w:eastAsia="Calibri"/>
          <w:lang w:val="pl-PL"/>
        </w:rPr>
        <w:t xml:space="preserve"> </w:t>
      </w:r>
      <w:r w:rsidR="00D61427">
        <w:rPr>
          <w:rFonts w:eastAsia="Calibri"/>
          <w:lang w:val="pl-PL"/>
        </w:rPr>
        <w:t xml:space="preserve">i </w:t>
      </w:r>
      <w:r w:rsidR="00911438" w:rsidRPr="00160AEC">
        <w:rPr>
          <w:szCs w:val="22"/>
          <w:lang w:val="pl-PL"/>
        </w:rPr>
        <w:t>bardziej</w:t>
      </w:r>
      <w:r w:rsidR="00911438">
        <w:rPr>
          <w:lang w:val="pl-PL"/>
        </w:rPr>
        <w:t xml:space="preserve"> efektywn</w:t>
      </w:r>
      <w:r w:rsidR="003C6C62">
        <w:rPr>
          <w:lang w:val="pl-PL"/>
        </w:rPr>
        <w:t>e</w:t>
      </w:r>
      <w:r w:rsidR="00911438">
        <w:rPr>
          <w:lang w:val="pl-PL"/>
        </w:rPr>
        <w:t xml:space="preserve"> zarządzani</w:t>
      </w:r>
      <w:r w:rsidR="003C6C62">
        <w:rPr>
          <w:lang w:val="pl-PL"/>
        </w:rPr>
        <w:t>e</w:t>
      </w:r>
      <w:r w:rsidR="00911438" w:rsidRPr="001161AA">
        <w:rPr>
          <w:lang w:val="pl-PL"/>
        </w:rPr>
        <w:t xml:space="preserve"> środkami publicznymi</w:t>
      </w:r>
      <w:r w:rsidR="00911438">
        <w:rPr>
          <w:lang w:val="pl-PL"/>
        </w:rPr>
        <w:t>.</w:t>
      </w:r>
    </w:p>
    <w:p w14:paraId="4B160BF1" w14:textId="77777777" w:rsidR="006A51D6" w:rsidRPr="000D2E46" w:rsidRDefault="000D2E46" w:rsidP="009F21D5">
      <w:pPr>
        <w:pStyle w:val="EYHeading2"/>
        <w:rPr>
          <w:rFonts w:eastAsia="Calibri"/>
          <w:lang w:val="pl-PL"/>
        </w:rPr>
      </w:pPr>
      <w:bookmarkStart w:id="99" w:name="_Toc486537931"/>
      <w:r w:rsidRPr="000D2E46">
        <w:rPr>
          <w:rFonts w:eastAsia="Calibri"/>
          <w:lang w:val="pl-PL"/>
        </w:rPr>
        <w:t>O</w:t>
      </w:r>
      <w:r w:rsidR="006A51D6" w:rsidRPr="000D2E46">
        <w:rPr>
          <w:rFonts w:eastAsia="Calibri"/>
          <w:lang w:val="pl-PL"/>
        </w:rPr>
        <w:t>gólna koncepcja</w:t>
      </w:r>
      <w:bookmarkEnd w:id="99"/>
    </w:p>
    <w:p w14:paraId="27D4F0C6" w14:textId="77777777" w:rsidR="00AA4496" w:rsidRDefault="00AA4496" w:rsidP="00AA4496">
      <w:pPr>
        <w:rPr>
          <w:lang w:val="pl-PL"/>
        </w:rPr>
      </w:pPr>
      <w:r>
        <w:rPr>
          <w:lang w:val="pl-PL"/>
        </w:rPr>
        <w:t>Ogólna koncepcja opiera się przede wszystkim na reorganizacji opieki poprzez:</w:t>
      </w:r>
    </w:p>
    <w:p w14:paraId="2F2595B3" w14:textId="77777777" w:rsidR="00421D4A" w:rsidRDefault="00AA4496" w:rsidP="00F84B72">
      <w:pPr>
        <w:pStyle w:val="EYBulletedList1"/>
        <w:numPr>
          <w:ilvl w:val="0"/>
          <w:numId w:val="11"/>
        </w:numPr>
        <w:ind w:left="289" w:hanging="289"/>
        <w:jc w:val="both"/>
        <w:rPr>
          <w:rFonts w:eastAsia="Calibri"/>
          <w:sz w:val="22"/>
          <w:lang w:val="pl-PL"/>
        </w:rPr>
      </w:pPr>
      <w:r w:rsidRPr="00421D4A">
        <w:rPr>
          <w:rFonts w:eastAsia="Calibri"/>
          <w:sz w:val="22"/>
          <w:lang w:val="pl-PL"/>
        </w:rPr>
        <w:t>skonc</w:t>
      </w:r>
      <w:r w:rsidR="00421D4A">
        <w:rPr>
          <w:rFonts w:eastAsia="Calibri"/>
          <w:sz w:val="22"/>
          <w:lang w:val="pl-PL"/>
        </w:rPr>
        <w:t>entrowanie procesów decyzyjnych</w:t>
      </w:r>
    </w:p>
    <w:p w14:paraId="4FECCF97" w14:textId="77777777" w:rsidR="00AA4496" w:rsidRPr="00421D4A" w:rsidRDefault="00AA4496" w:rsidP="00421D4A">
      <w:pPr>
        <w:pStyle w:val="EYBulletedList1"/>
        <w:numPr>
          <w:ilvl w:val="0"/>
          <w:numId w:val="0"/>
        </w:numPr>
        <w:jc w:val="both"/>
        <w:rPr>
          <w:rFonts w:eastAsia="Calibri"/>
          <w:sz w:val="22"/>
          <w:lang w:val="pl-PL"/>
        </w:rPr>
      </w:pPr>
      <w:r w:rsidRPr="00421D4A">
        <w:rPr>
          <w:rFonts w:eastAsia="Calibri"/>
          <w:sz w:val="22"/>
          <w:lang w:val="pl-PL"/>
        </w:rPr>
        <w:t>oraz</w:t>
      </w:r>
    </w:p>
    <w:p w14:paraId="4AE4AC58" w14:textId="77777777" w:rsidR="00AA4496" w:rsidRPr="00421D4A" w:rsidRDefault="00AA4496" w:rsidP="00F84B72">
      <w:pPr>
        <w:pStyle w:val="EYBulletedList1"/>
        <w:numPr>
          <w:ilvl w:val="0"/>
          <w:numId w:val="11"/>
        </w:numPr>
        <w:ind w:left="289" w:hanging="289"/>
        <w:jc w:val="both"/>
        <w:rPr>
          <w:rFonts w:eastAsia="Calibri"/>
          <w:sz w:val="22"/>
          <w:lang w:val="pl-PL"/>
        </w:rPr>
      </w:pPr>
      <w:r w:rsidRPr="00421D4A">
        <w:rPr>
          <w:rFonts w:eastAsia="Calibri"/>
          <w:sz w:val="22"/>
          <w:lang w:val="pl-PL"/>
        </w:rPr>
        <w:t>skoncentrowanie przepływów publicznych środków finansowych</w:t>
      </w:r>
    </w:p>
    <w:p w14:paraId="41B499AA" w14:textId="77777777" w:rsidR="00AA4496" w:rsidRDefault="00AA4496" w:rsidP="00AA4496">
      <w:pPr>
        <w:rPr>
          <w:lang w:val="pl-PL"/>
        </w:rPr>
      </w:pPr>
      <w:r w:rsidRPr="003315FD">
        <w:rPr>
          <w:lang w:val="pl-PL"/>
        </w:rPr>
        <w:t xml:space="preserve">w zakresie pozwalającym na koordynowanie opieki nad pacjentem w zaawansowanym stadium </w:t>
      </w:r>
      <w:proofErr w:type="spellStart"/>
      <w:r w:rsidRPr="003315FD">
        <w:rPr>
          <w:lang w:val="pl-PL"/>
        </w:rPr>
        <w:t>PChN</w:t>
      </w:r>
      <w:proofErr w:type="spellEnd"/>
      <w:r w:rsidR="00160AEC">
        <w:rPr>
          <w:lang w:val="pl-PL"/>
        </w:rPr>
        <w:t>.</w:t>
      </w:r>
    </w:p>
    <w:p w14:paraId="4877E599" w14:textId="582299E0" w:rsidR="00AA4496" w:rsidRPr="003315FD" w:rsidRDefault="00AA4496" w:rsidP="00AA4496">
      <w:pPr>
        <w:rPr>
          <w:lang w:val="pl-PL"/>
        </w:rPr>
      </w:pPr>
      <w:r w:rsidRPr="003315FD">
        <w:rPr>
          <w:lang w:val="pl-PL"/>
        </w:rPr>
        <w:t xml:space="preserve">W proponowanym modelu reorganizacja opieki polega </w:t>
      </w:r>
      <w:r w:rsidR="00160AEC">
        <w:rPr>
          <w:lang w:val="pl-PL"/>
        </w:rPr>
        <w:t>przede wszystkim</w:t>
      </w:r>
      <w:r w:rsidRPr="003315FD">
        <w:rPr>
          <w:lang w:val="pl-PL"/>
        </w:rPr>
        <w:t xml:space="preserve"> na scaleniu dotychczasow</w:t>
      </w:r>
      <w:r w:rsidR="00A91B63">
        <w:rPr>
          <w:lang w:val="pl-PL"/>
        </w:rPr>
        <w:t xml:space="preserve">ego zakresu odpowiedzialności </w:t>
      </w:r>
      <w:r w:rsidRPr="003315FD">
        <w:rPr>
          <w:lang w:val="pl-PL"/>
        </w:rPr>
        <w:t>poradni nefrologiczn</w:t>
      </w:r>
      <w:r>
        <w:rPr>
          <w:lang w:val="pl-PL"/>
        </w:rPr>
        <w:t xml:space="preserve">ych i </w:t>
      </w:r>
      <w:r w:rsidR="00A91B63">
        <w:rPr>
          <w:lang w:val="pl-PL"/>
        </w:rPr>
        <w:t>stacji</w:t>
      </w:r>
      <w:r w:rsidRPr="003315FD">
        <w:rPr>
          <w:lang w:val="pl-PL"/>
        </w:rPr>
        <w:t xml:space="preserve"> dializ</w:t>
      </w:r>
      <w:r>
        <w:rPr>
          <w:lang w:val="pl-PL"/>
        </w:rPr>
        <w:t xml:space="preserve"> </w:t>
      </w:r>
      <w:r w:rsidR="003C6C62">
        <w:rPr>
          <w:lang w:val="pl-PL"/>
        </w:rPr>
        <w:t xml:space="preserve">w obszarze opieki nad pacjentami w zaawansowanym stadium </w:t>
      </w:r>
      <w:proofErr w:type="spellStart"/>
      <w:r w:rsidR="003C6C62">
        <w:rPr>
          <w:lang w:val="pl-PL"/>
        </w:rPr>
        <w:t>PChN</w:t>
      </w:r>
      <w:proofErr w:type="spellEnd"/>
      <w:r w:rsidR="003C6C62">
        <w:rPr>
          <w:lang w:val="pl-PL"/>
        </w:rPr>
        <w:t xml:space="preserve"> </w:t>
      </w:r>
      <w:r>
        <w:rPr>
          <w:lang w:val="pl-PL"/>
        </w:rPr>
        <w:t xml:space="preserve">oraz uzupełnieniu </w:t>
      </w:r>
      <w:r w:rsidR="005807B6">
        <w:rPr>
          <w:lang w:val="pl-PL"/>
        </w:rPr>
        <w:t xml:space="preserve">jej </w:t>
      </w:r>
      <w:r>
        <w:rPr>
          <w:lang w:val="pl-PL"/>
        </w:rPr>
        <w:t xml:space="preserve">o </w:t>
      </w:r>
      <w:r w:rsidR="00A91B63">
        <w:rPr>
          <w:lang w:val="pl-PL"/>
        </w:rPr>
        <w:t>zakres odpowiedzialności aktualnie niedostępny w ramach świadczeń gwarantowanych bądź będący w kompetencji innych świadczeniodawców.</w:t>
      </w:r>
      <w:r w:rsidR="00B67BC3">
        <w:rPr>
          <w:lang w:val="pl-PL"/>
        </w:rPr>
        <w:t xml:space="preserve"> </w:t>
      </w:r>
      <w:r w:rsidR="00443470">
        <w:rPr>
          <w:rFonts w:eastAsia="Calibri"/>
          <w:lang w:val="pl-PL"/>
        </w:rPr>
        <w:t>P</w:t>
      </w:r>
      <w:r w:rsidR="00B67BC3">
        <w:rPr>
          <w:rFonts w:eastAsia="Calibri"/>
          <w:lang w:val="pl-PL"/>
        </w:rPr>
        <w:t>rzekazani</w:t>
      </w:r>
      <w:r w:rsidR="00443470">
        <w:rPr>
          <w:rFonts w:eastAsia="Calibri"/>
          <w:lang w:val="pl-PL"/>
        </w:rPr>
        <w:t>e</w:t>
      </w:r>
      <w:r w:rsidR="00B67BC3">
        <w:rPr>
          <w:rFonts w:eastAsia="Calibri"/>
          <w:lang w:val="pl-PL"/>
        </w:rPr>
        <w:t xml:space="preserve"> odpowiedzialności jednemu podmiotowi</w:t>
      </w:r>
      <w:r w:rsidR="00443470">
        <w:rPr>
          <w:rFonts w:eastAsia="Calibri"/>
          <w:lang w:val="pl-PL"/>
        </w:rPr>
        <w:t xml:space="preserve"> umożliwi ciągłe monitorowanie postępów leczenia i egzekwowanie odpowiednich wyników</w:t>
      </w:r>
      <w:r w:rsidR="00B67BC3">
        <w:rPr>
          <w:rFonts w:eastAsia="Calibri"/>
          <w:lang w:val="pl-PL"/>
        </w:rPr>
        <w:t>.</w:t>
      </w:r>
      <w:r w:rsidR="00911438">
        <w:rPr>
          <w:rFonts w:eastAsia="Calibri"/>
          <w:lang w:val="pl-PL"/>
        </w:rPr>
        <w:t xml:space="preserve"> </w:t>
      </w:r>
    </w:p>
    <w:p w14:paraId="3AB00C6D" w14:textId="77777777" w:rsidR="000D2E46" w:rsidRPr="000D2E46" w:rsidRDefault="000D2E46" w:rsidP="000D2E46">
      <w:pPr>
        <w:pStyle w:val="EYHeading3"/>
        <w:rPr>
          <w:lang w:val="pl-PL"/>
        </w:rPr>
      </w:pPr>
      <w:bookmarkStart w:id="100" w:name="_Toc486537932"/>
      <w:r w:rsidRPr="00344613">
        <w:rPr>
          <w:lang w:val="pl-PL"/>
        </w:rPr>
        <w:t xml:space="preserve">Proponowany model opieki nad pacjentem w zaawansowanym stadium </w:t>
      </w:r>
      <w:proofErr w:type="spellStart"/>
      <w:r w:rsidRPr="00344613">
        <w:rPr>
          <w:lang w:val="pl-PL"/>
        </w:rPr>
        <w:t>PChN</w:t>
      </w:r>
      <w:proofErr w:type="spellEnd"/>
      <w:r w:rsidRPr="00344613">
        <w:rPr>
          <w:lang w:val="pl-PL"/>
        </w:rPr>
        <w:t xml:space="preserve"> – pacjent dializowany</w:t>
      </w:r>
      <w:bookmarkEnd w:id="100"/>
    </w:p>
    <w:p w14:paraId="0ED99661" w14:textId="7D127656" w:rsidR="009F21D5" w:rsidRDefault="00202D0C" w:rsidP="009F21D5">
      <w:pPr>
        <w:rPr>
          <w:rFonts w:eastAsia="Calibri"/>
          <w:lang w:val="pl-PL"/>
        </w:rPr>
      </w:pPr>
      <w:r>
        <w:rPr>
          <w:rFonts w:eastAsia="Calibri"/>
          <w:lang w:val="pl-PL"/>
        </w:rPr>
        <w:t xml:space="preserve">W tabeli </w:t>
      </w:r>
      <w:r w:rsidR="001E35A3">
        <w:rPr>
          <w:rFonts w:eastAsia="Calibri"/>
          <w:lang w:val="pl-PL"/>
        </w:rPr>
        <w:t>1</w:t>
      </w:r>
      <w:r w:rsidR="004728B7">
        <w:rPr>
          <w:rFonts w:eastAsia="Calibri"/>
          <w:lang w:val="pl-PL"/>
        </w:rPr>
        <w:t>7</w:t>
      </w:r>
      <w:r>
        <w:rPr>
          <w:rFonts w:eastAsia="Calibri"/>
          <w:lang w:val="pl-PL"/>
        </w:rPr>
        <w:t xml:space="preserve"> przedstawiono zakres odpowiedzialności </w:t>
      </w:r>
      <w:r w:rsidR="00C90C48">
        <w:rPr>
          <w:rFonts w:eastAsia="Calibri"/>
          <w:lang w:val="pl-PL"/>
        </w:rPr>
        <w:t xml:space="preserve">w modelu opieki </w:t>
      </w:r>
      <w:r w:rsidR="00160AEC">
        <w:rPr>
          <w:rFonts w:eastAsia="Calibri"/>
          <w:lang w:val="pl-PL"/>
        </w:rPr>
        <w:t xml:space="preserve">koordynowanej </w:t>
      </w:r>
      <w:r w:rsidR="00C90C48">
        <w:rPr>
          <w:rFonts w:eastAsia="Calibri"/>
          <w:lang w:val="pl-PL"/>
        </w:rPr>
        <w:t xml:space="preserve">nad pacjentem </w:t>
      </w:r>
      <w:r w:rsidR="000D2E46">
        <w:rPr>
          <w:rFonts w:eastAsia="Calibri"/>
          <w:lang w:val="pl-PL"/>
        </w:rPr>
        <w:t>dializowanym</w:t>
      </w:r>
      <w:r w:rsidR="00160AEC">
        <w:rPr>
          <w:rFonts w:eastAsia="Calibri"/>
          <w:lang w:val="pl-PL"/>
        </w:rPr>
        <w:t xml:space="preserve"> </w:t>
      </w:r>
      <w:r w:rsidR="0068307B">
        <w:rPr>
          <w:rFonts w:eastAsia="Calibri"/>
          <w:lang w:val="pl-PL"/>
        </w:rPr>
        <w:t>obowiązujący aktualnie oraz w rekomendowanym kształcie</w:t>
      </w:r>
      <w:r w:rsidR="00C90C48">
        <w:rPr>
          <w:rFonts w:eastAsia="Calibri"/>
          <w:lang w:val="pl-PL"/>
        </w:rPr>
        <w:t xml:space="preserve">. Proponowany </w:t>
      </w:r>
      <w:r w:rsidR="0068307B">
        <w:rPr>
          <w:rFonts w:eastAsia="Calibri"/>
          <w:lang w:val="pl-PL"/>
        </w:rPr>
        <w:t xml:space="preserve">i omówiony szerzej </w:t>
      </w:r>
      <w:r w:rsidR="00C90C48">
        <w:rPr>
          <w:rFonts w:eastAsia="Calibri"/>
          <w:lang w:val="pl-PL"/>
        </w:rPr>
        <w:t xml:space="preserve">w niniejszym opracowaniu model opieki dotyczy krótkiego horyzontu czasowego, co oznacza, że jest możliwy do </w:t>
      </w:r>
      <w:r w:rsidR="009F21D5">
        <w:rPr>
          <w:rFonts w:eastAsia="Calibri"/>
          <w:lang w:val="pl-PL"/>
        </w:rPr>
        <w:t>wdrożenia</w:t>
      </w:r>
      <w:r w:rsidR="00C90C48">
        <w:rPr>
          <w:rFonts w:eastAsia="Calibri"/>
          <w:lang w:val="pl-PL"/>
        </w:rPr>
        <w:t xml:space="preserve"> z uwzględnieniem </w:t>
      </w:r>
      <w:r w:rsidR="009F21D5">
        <w:rPr>
          <w:rFonts w:eastAsia="Calibri"/>
          <w:lang w:val="pl-PL"/>
        </w:rPr>
        <w:t xml:space="preserve">aktualnych uwarunkowań systemowych w Polsce oraz przyjętych </w:t>
      </w:r>
      <w:r w:rsidR="0068307B">
        <w:rPr>
          <w:rFonts w:eastAsia="Calibri"/>
          <w:lang w:val="pl-PL"/>
        </w:rPr>
        <w:t xml:space="preserve">następujących </w:t>
      </w:r>
      <w:r w:rsidR="009F21D5">
        <w:rPr>
          <w:rFonts w:eastAsia="Calibri"/>
          <w:lang w:val="pl-PL"/>
        </w:rPr>
        <w:t>założeń:</w:t>
      </w:r>
    </w:p>
    <w:p w14:paraId="4C6AC67A" w14:textId="03B3CB80" w:rsidR="009F21D5" w:rsidRPr="00160AEC" w:rsidRDefault="00926E1F" w:rsidP="00F84B72">
      <w:pPr>
        <w:pStyle w:val="Akapitzlist"/>
        <w:numPr>
          <w:ilvl w:val="0"/>
          <w:numId w:val="13"/>
        </w:numPr>
        <w:rPr>
          <w:rFonts w:eastAsia="Calibri"/>
          <w:szCs w:val="22"/>
          <w:lang w:val="pl-PL"/>
        </w:rPr>
      </w:pPr>
      <w:r>
        <w:rPr>
          <w:rFonts w:eastAsia="Calibri"/>
          <w:lang w:val="pl-PL"/>
        </w:rPr>
        <w:t>W zakresie opieki nad pacjentami dializowanymi m</w:t>
      </w:r>
      <w:r w:rsidR="009F21D5">
        <w:rPr>
          <w:rFonts w:eastAsia="Calibri"/>
          <w:lang w:val="pl-PL"/>
        </w:rPr>
        <w:t>odel</w:t>
      </w:r>
      <w:r w:rsidR="0068307B">
        <w:rPr>
          <w:rFonts w:eastAsia="Calibri"/>
          <w:lang w:val="pl-PL"/>
        </w:rPr>
        <w:t xml:space="preserve"> </w:t>
      </w:r>
      <w:r w:rsidR="009F21D5">
        <w:rPr>
          <w:rFonts w:eastAsia="Calibri"/>
          <w:lang w:val="pl-PL"/>
        </w:rPr>
        <w:t xml:space="preserve">może zostać zrealizowany </w:t>
      </w:r>
      <w:r w:rsidR="009F21D5" w:rsidRPr="00625B8A">
        <w:rPr>
          <w:rFonts w:eastAsia="Calibri"/>
          <w:lang w:val="pl-PL"/>
        </w:rPr>
        <w:t xml:space="preserve">przy wykorzystaniu </w:t>
      </w:r>
      <w:r w:rsidR="00AB3698">
        <w:rPr>
          <w:rFonts w:eastAsia="Calibri"/>
          <w:lang w:val="pl-PL"/>
        </w:rPr>
        <w:t>podobnego poziomu</w:t>
      </w:r>
      <w:r w:rsidR="00AB3698" w:rsidRPr="00625B8A">
        <w:rPr>
          <w:rFonts w:eastAsia="Calibri"/>
          <w:lang w:val="pl-PL"/>
        </w:rPr>
        <w:t xml:space="preserve"> </w:t>
      </w:r>
      <w:r w:rsidR="009F21D5" w:rsidRPr="00160AEC">
        <w:rPr>
          <w:rFonts w:eastAsia="Calibri"/>
          <w:szCs w:val="22"/>
          <w:lang w:val="pl-PL"/>
        </w:rPr>
        <w:t>zasobów finansowych</w:t>
      </w:r>
      <w:r w:rsidR="00160AEC" w:rsidRPr="00160AEC">
        <w:rPr>
          <w:rStyle w:val="Odwoanieprzypisudolnego"/>
          <w:rFonts w:eastAsia="Calibri"/>
          <w:sz w:val="22"/>
          <w:szCs w:val="22"/>
          <w:lang w:val="pl-PL"/>
        </w:rPr>
        <w:footnoteReference w:id="64"/>
      </w:r>
    </w:p>
    <w:p w14:paraId="374D1BD9" w14:textId="77777777" w:rsidR="009F21D5" w:rsidRPr="00625B8A" w:rsidRDefault="009F21D5" w:rsidP="00F84B72">
      <w:pPr>
        <w:pStyle w:val="Akapitzlist"/>
        <w:numPr>
          <w:ilvl w:val="0"/>
          <w:numId w:val="13"/>
        </w:numPr>
        <w:rPr>
          <w:rFonts w:eastAsia="Calibri"/>
          <w:lang w:val="pl-PL"/>
        </w:rPr>
      </w:pPr>
      <w:r w:rsidRPr="00625B8A">
        <w:rPr>
          <w:rFonts w:eastAsia="Calibri"/>
          <w:lang w:val="pl-PL"/>
        </w:rPr>
        <w:t>Model</w:t>
      </w:r>
      <w:r w:rsidR="0068307B" w:rsidRPr="00625B8A">
        <w:rPr>
          <w:rFonts w:eastAsia="Calibri"/>
          <w:lang w:val="pl-PL"/>
        </w:rPr>
        <w:t xml:space="preserve"> opieki</w:t>
      </w:r>
      <w:r w:rsidRPr="00625B8A">
        <w:rPr>
          <w:rFonts w:eastAsia="Calibri"/>
          <w:lang w:val="pl-PL"/>
        </w:rPr>
        <w:t xml:space="preserve"> może zostać zrealizowany przy wykorzystaniu dotychczasowych zasobów k</w:t>
      </w:r>
      <w:r w:rsidR="003967E3" w:rsidRPr="00625B8A">
        <w:rPr>
          <w:rFonts w:eastAsia="Calibri"/>
          <w:lang w:val="pl-PL"/>
        </w:rPr>
        <w:t>adry medycznej</w:t>
      </w:r>
    </w:p>
    <w:p w14:paraId="24323265" w14:textId="77777777" w:rsidR="009F21D5" w:rsidRDefault="009F21D5" w:rsidP="00F84B72">
      <w:pPr>
        <w:pStyle w:val="Akapitzlist"/>
        <w:numPr>
          <w:ilvl w:val="0"/>
          <w:numId w:val="13"/>
        </w:numPr>
        <w:rPr>
          <w:rFonts w:eastAsia="Calibri"/>
          <w:lang w:val="pl-PL"/>
        </w:rPr>
      </w:pPr>
      <w:r>
        <w:rPr>
          <w:rFonts w:eastAsia="Calibri"/>
          <w:lang w:val="pl-PL"/>
        </w:rPr>
        <w:lastRenderedPageBreak/>
        <w:t xml:space="preserve">W modelu uwzględniono opiekę nad pacjentem w zaawansowanym stadium </w:t>
      </w:r>
      <w:proofErr w:type="spellStart"/>
      <w:r>
        <w:rPr>
          <w:rFonts w:eastAsia="Calibri"/>
          <w:lang w:val="pl-PL"/>
        </w:rPr>
        <w:t>PChN</w:t>
      </w:r>
      <w:proofErr w:type="spellEnd"/>
      <w:r>
        <w:rPr>
          <w:rFonts w:eastAsia="Calibri"/>
          <w:lang w:val="pl-PL"/>
        </w:rPr>
        <w:t xml:space="preserve"> w zakresie profilaktyki trzeciorzędowej</w:t>
      </w:r>
    </w:p>
    <w:p w14:paraId="34C40902" w14:textId="4852C98A" w:rsidR="00174296" w:rsidRPr="0045286E" w:rsidRDefault="00174296" w:rsidP="00174296">
      <w:pPr>
        <w:pStyle w:val="Legenda"/>
        <w:keepNext/>
        <w:rPr>
          <w:b/>
          <w:i w:val="0"/>
          <w:color w:val="auto"/>
          <w:lang w:val="pl-PL"/>
        </w:rPr>
      </w:pPr>
      <w:bookmarkStart w:id="101" w:name="_Toc486537980"/>
      <w:r w:rsidRPr="0045286E">
        <w:rPr>
          <w:b/>
          <w:i w:val="0"/>
          <w:color w:val="auto"/>
          <w:lang w:val="pl-PL"/>
        </w:rPr>
        <w:t xml:space="preserve">Tabela </w:t>
      </w:r>
      <w:r w:rsidRPr="00174296">
        <w:rPr>
          <w:b/>
          <w:i w:val="0"/>
          <w:color w:val="auto"/>
        </w:rPr>
        <w:fldChar w:fldCharType="begin"/>
      </w:r>
      <w:r w:rsidRPr="0045286E">
        <w:rPr>
          <w:b/>
          <w:i w:val="0"/>
          <w:color w:val="auto"/>
          <w:lang w:val="pl-PL"/>
        </w:rPr>
        <w:instrText xml:space="preserve"> SEQ Tabela \* ARABIC </w:instrText>
      </w:r>
      <w:r w:rsidRPr="00174296">
        <w:rPr>
          <w:b/>
          <w:i w:val="0"/>
          <w:color w:val="auto"/>
        </w:rPr>
        <w:fldChar w:fldCharType="separate"/>
      </w:r>
      <w:r w:rsidR="005C7285">
        <w:rPr>
          <w:b/>
          <w:i w:val="0"/>
          <w:noProof/>
          <w:color w:val="auto"/>
          <w:lang w:val="pl-PL"/>
        </w:rPr>
        <w:t>17</w:t>
      </w:r>
      <w:r w:rsidRPr="00174296">
        <w:rPr>
          <w:b/>
          <w:i w:val="0"/>
          <w:color w:val="auto"/>
        </w:rPr>
        <w:fldChar w:fldCharType="end"/>
      </w:r>
      <w:r w:rsidR="0045286E" w:rsidRPr="0045286E">
        <w:rPr>
          <w:b/>
          <w:i w:val="0"/>
          <w:color w:val="auto"/>
          <w:lang w:val="pl-PL"/>
        </w:rPr>
        <w:t xml:space="preserve"> Zakres odpowiedzialności w aktualnym, proponowanym </w:t>
      </w:r>
      <w:r w:rsidR="0045286E">
        <w:rPr>
          <w:b/>
          <w:i w:val="0"/>
          <w:color w:val="auto"/>
          <w:lang w:val="pl-PL"/>
        </w:rPr>
        <w:t>i</w:t>
      </w:r>
      <w:r w:rsidR="0045286E" w:rsidRPr="0045286E">
        <w:rPr>
          <w:b/>
          <w:i w:val="0"/>
          <w:color w:val="auto"/>
          <w:lang w:val="pl-PL"/>
        </w:rPr>
        <w:t xml:space="preserve"> docelowym modelu opieki nad pacjentem </w:t>
      </w:r>
      <w:r w:rsidR="00AB1BAE">
        <w:rPr>
          <w:b/>
          <w:i w:val="0"/>
          <w:color w:val="auto"/>
          <w:lang w:val="pl-PL"/>
        </w:rPr>
        <w:t>dializowanym</w:t>
      </w:r>
      <w:r w:rsidR="005C580E">
        <w:rPr>
          <w:b/>
          <w:i w:val="0"/>
          <w:color w:val="auto"/>
          <w:lang w:val="pl-PL"/>
        </w:rPr>
        <w:t xml:space="preserve"> w jednostce koordynującej</w:t>
      </w:r>
      <w:bookmarkEnd w:id="101"/>
    </w:p>
    <w:tbl>
      <w:tblPr>
        <w:tblStyle w:val="Tabela-Siatka"/>
        <w:tblW w:w="0" w:type="auto"/>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18"/>
        <w:gridCol w:w="3218"/>
        <w:gridCol w:w="1497"/>
        <w:gridCol w:w="1498"/>
        <w:gridCol w:w="1498"/>
      </w:tblGrid>
      <w:tr w:rsidR="009F21D5" w:rsidRPr="00174296" w14:paraId="7C38139C" w14:textId="77777777" w:rsidTr="00742D29">
        <w:tc>
          <w:tcPr>
            <w:tcW w:w="1318" w:type="dxa"/>
            <w:tcBorders>
              <w:top w:val="nil"/>
              <w:bottom w:val="single" w:sz="4" w:space="0" w:color="808080" w:themeColor="background1" w:themeShade="80"/>
            </w:tcBorders>
            <w:shd w:val="clear" w:color="auto" w:fill="FFE600"/>
            <w:vAlign w:val="center"/>
          </w:tcPr>
          <w:p w14:paraId="5F9A7408" w14:textId="77777777" w:rsidR="007640F5" w:rsidRPr="00602625" w:rsidRDefault="007640F5" w:rsidP="00174296">
            <w:pPr>
              <w:spacing w:before="60" w:after="60" w:line="240" w:lineRule="auto"/>
              <w:jc w:val="center"/>
              <w:rPr>
                <w:rFonts w:eastAsia="Calibri"/>
                <w:b/>
                <w:sz w:val="18"/>
                <w:szCs w:val="18"/>
                <w:lang w:val="pl-PL"/>
              </w:rPr>
            </w:pPr>
          </w:p>
        </w:tc>
        <w:tc>
          <w:tcPr>
            <w:tcW w:w="3218" w:type="dxa"/>
            <w:tcBorders>
              <w:top w:val="nil"/>
              <w:bottom w:val="single" w:sz="4" w:space="0" w:color="808080" w:themeColor="background1" w:themeShade="80"/>
              <w:right w:val="single" w:sz="4" w:space="0" w:color="808080" w:themeColor="background1" w:themeShade="80"/>
            </w:tcBorders>
            <w:shd w:val="clear" w:color="auto" w:fill="FFE600"/>
            <w:vAlign w:val="center"/>
          </w:tcPr>
          <w:p w14:paraId="43623CBC" w14:textId="77777777" w:rsidR="007640F5" w:rsidRPr="006A51D6" w:rsidRDefault="007640F5" w:rsidP="00174296">
            <w:pPr>
              <w:spacing w:before="60" w:after="60" w:line="240" w:lineRule="auto"/>
              <w:jc w:val="left"/>
              <w:rPr>
                <w:rFonts w:eastAsia="Calibri"/>
                <w:b/>
                <w:sz w:val="18"/>
                <w:szCs w:val="18"/>
                <w:lang w:val="pl-PL"/>
              </w:rPr>
            </w:pPr>
            <w:r>
              <w:rPr>
                <w:rFonts w:eastAsia="Calibri"/>
                <w:b/>
                <w:sz w:val="18"/>
                <w:szCs w:val="18"/>
                <w:lang w:val="pl-PL"/>
              </w:rPr>
              <w:t>Zakres odpowiedzialności</w:t>
            </w:r>
          </w:p>
        </w:tc>
        <w:tc>
          <w:tcPr>
            <w:tcW w:w="1497" w:type="dxa"/>
            <w:tcBorders>
              <w:top w:val="nil"/>
              <w:left w:val="single" w:sz="4" w:space="0" w:color="808080" w:themeColor="background1" w:themeShade="80"/>
              <w:bottom w:val="single" w:sz="4" w:space="0" w:color="808080" w:themeColor="background1" w:themeShade="80"/>
              <w:right w:val="nil"/>
            </w:tcBorders>
            <w:shd w:val="clear" w:color="auto" w:fill="FFE600"/>
            <w:vAlign w:val="center"/>
          </w:tcPr>
          <w:p w14:paraId="2AC0CC5E" w14:textId="77777777" w:rsidR="007640F5" w:rsidRPr="006A51D6" w:rsidRDefault="00742D29" w:rsidP="00174296">
            <w:pPr>
              <w:pStyle w:val="EYBulletedList1"/>
              <w:numPr>
                <w:ilvl w:val="0"/>
                <w:numId w:val="0"/>
              </w:numPr>
              <w:spacing w:beforeLines="20" w:before="48" w:afterLines="20" w:after="48"/>
              <w:jc w:val="center"/>
              <w:rPr>
                <w:b/>
                <w:sz w:val="18"/>
                <w:szCs w:val="18"/>
                <w:lang w:val="pl-PL"/>
              </w:rPr>
            </w:pPr>
            <w:r w:rsidRPr="00742D29">
              <w:rPr>
                <w:b/>
                <w:noProof/>
                <w:sz w:val="18"/>
                <w:szCs w:val="18"/>
                <w:lang w:val="pl-PL" w:eastAsia="pl-PL"/>
              </w:rPr>
              <w:drawing>
                <wp:anchor distT="0" distB="0" distL="114300" distR="114300" simplePos="0" relativeHeight="251665408" behindDoc="0" locked="0" layoutInCell="1" allowOverlap="1" wp14:anchorId="0280049A" wp14:editId="043D3FEC">
                  <wp:simplePos x="0" y="0"/>
                  <wp:positionH relativeFrom="column">
                    <wp:posOffset>784860</wp:posOffset>
                  </wp:positionH>
                  <wp:positionV relativeFrom="paragraph">
                    <wp:posOffset>45085</wp:posOffset>
                  </wp:positionV>
                  <wp:extent cx="246380" cy="190500"/>
                  <wp:effectExtent l="8890" t="0" r="0" b="0"/>
                  <wp:wrapNone/>
                  <wp:docPr id="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246380" cy="190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202D0C">
              <w:rPr>
                <w:b/>
                <w:sz w:val="18"/>
                <w:szCs w:val="18"/>
                <w:lang w:val="pl-PL"/>
              </w:rPr>
              <w:t>Aktualny model opieki</w:t>
            </w:r>
          </w:p>
        </w:tc>
        <w:tc>
          <w:tcPr>
            <w:tcW w:w="1498" w:type="dxa"/>
            <w:tcBorders>
              <w:top w:val="nil"/>
              <w:left w:val="nil"/>
              <w:bottom w:val="single" w:sz="4" w:space="0" w:color="808080" w:themeColor="background1" w:themeShade="80"/>
              <w:right w:val="nil"/>
            </w:tcBorders>
            <w:shd w:val="clear" w:color="auto" w:fill="FFE600"/>
            <w:vAlign w:val="center"/>
          </w:tcPr>
          <w:p w14:paraId="416D0458" w14:textId="77777777" w:rsidR="007640F5" w:rsidRDefault="00174296" w:rsidP="00174296">
            <w:pPr>
              <w:pStyle w:val="EYBulletedList1"/>
              <w:numPr>
                <w:ilvl w:val="0"/>
                <w:numId w:val="0"/>
              </w:numPr>
              <w:spacing w:beforeLines="20" w:before="48" w:afterLines="20" w:after="48"/>
              <w:jc w:val="center"/>
              <w:rPr>
                <w:b/>
                <w:sz w:val="18"/>
                <w:szCs w:val="18"/>
                <w:lang w:val="pl-PL"/>
              </w:rPr>
            </w:pPr>
            <w:r>
              <w:rPr>
                <w:b/>
                <w:sz w:val="18"/>
                <w:szCs w:val="18"/>
                <w:lang w:val="pl-PL"/>
              </w:rPr>
              <w:t>K</w:t>
            </w:r>
            <w:r w:rsidR="007640F5">
              <w:rPr>
                <w:b/>
                <w:sz w:val="18"/>
                <w:szCs w:val="18"/>
                <w:lang w:val="pl-PL"/>
              </w:rPr>
              <w:t>rótki horyzont</w:t>
            </w:r>
          </w:p>
          <w:p w14:paraId="0E4C87C7" w14:textId="77777777" w:rsidR="00202D0C" w:rsidRPr="006A51D6" w:rsidRDefault="00202D0C" w:rsidP="00174296">
            <w:pPr>
              <w:pStyle w:val="EYBulletedList1"/>
              <w:numPr>
                <w:ilvl w:val="0"/>
                <w:numId w:val="0"/>
              </w:numPr>
              <w:spacing w:beforeLines="20" w:before="48" w:afterLines="20" w:after="48"/>
              <w:jc w:val="center"/>
              <w:rPr>
                <w:b/>
                <w:sz w:val="18"/>
                <w:szCs w:val="18"/>
                <w:lang w:val="pl-PL"/>
              </w:rPr>
            </w:pPr>
            <w:r>
              <w:rPr>
                <w:b/>
                <w:sz w:val="18"/>
                <w:szCs w:val="18"/>
                <w:lang w:val="pl-PL"/>
              </w:rPr>
              <w:t>- proponowany model</w:t>
            </w:r>
          </w:p>
        </w:tc>
        <w:tc>
          <w:tcPr>
            <w:tcW w:w="1498" w:type="dxa"/>
            <w:tcBorders>
              <w:top w:val="nil"/>
              <w:left w:val="nil"/>
              <w:bottom w:val="single" w:sz="4" w:space="0" w:color="808080" w:themeColor="background1" w:themeShade="80"/>
            </w:tcBorders>
            <w:shd w:val="clear" w:color="auto" w:fill="FFE600"/>
            <w:vAlign w:val="center"/>
          </w:tcPr>
          <w:p w14:paraId="29018EAC" w14:textId="77777777" w:rsidR="007640F5" w:rsidRPr="00141BB1" w:rsidRDefault="00742D29" w:rsidP="00174296">
            <w:pPr>
              <w:pStyle w:val="EYBulletedList1"/>
              <w:numPr>
                <w:ilvl w:val="0"/>
                <w:numId w:val="0"/>
              </w:numPr>
              <w:spacing w:beforeLines="20" w:before="48" w:afterLines="20" w:after="48"/>
              <w:jc w:val="center"/>
              <w:rPr>
                <w:b/>
                <w:color w:val="808080" w:themeColor="background1" w:themeShade="80"/>
                <w:sz w:val="18"/>
                <w:szCs w:val="18"/>
                <w:lang w:val="pl-PL"/>
              </w:rPr>
            </w:pPr>
            <w:r w:rsidRPr="00141BB1">
              <w:rPr>
                <w:b/>
                <w:noProof/>
                <w:color w:val="808080" w:themeColor="background1" w:themeShade="80"/>
                <w:sz w:val="18"/>
                <w:szCs w:val="18"/>
                <w:lang w:val="pl-PL" w:eastAsia="pl-PL"/>
              </w:rPr>
              <w:drawing>
                <wp:anchor distT="0" distB="0" distL="114300" distR="114300" simplePos="0" relativeHeight="251667456" behindDoc="0" locked="0" layoutInCell="1" allowOverlap="1" wp14:anchorId="3CC9E826" wp14:editId="28DBD91B">
                  <wp:simplePos x="0" y="0"/>
                  <wp:positionH relativeFrom="column">
                    <wp:posOffset>-160655</wp:posOffset>
                  </wp:positionH>
                  <wp:positionV relativeFrom="paragraph">
                    <wp:posOffset>228600</wp:posOffset>
                  </wp:positionV>
                  <wp:extent cx="246380" cy="190500"/>
                  <wp:effectExtent l="889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246380" cy="190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174296" w:rsidRPr="00141BB1">
              <w:rPr>
                <w:b/>
                <w:color w:val="808080" w:themeColor="background1" w:themeShade="80"/>
                <w:sz w:val="18"/>
                <w:szCs w:val="18"/>
                <w:lang w:val="pl-PL"/>
              </w:rPr>
              <w:t>D</w:t>
            </w:r>
            <w:r w:rsidR="007640F5" w:rsidRPr="00141BB1">
              <w:rPr>
                <w:b/>
                <w:color w:val="808080" w:themeColor="background1" w:themeShade="80"/>
                <w:sz w:val="18"/>
                <w:szCs w:val="18"/>
                <w:lang w:val="pl-PL"/>
              </w:rPr>
              <w:t>ługi</w:t>
            </w:r>
            <w:r w:rsidR="00174296" w:rsidRPr="00141BB1">
              <w:rPr>
                <w:b/>
                <w:color w:val="808080" w:themeColor="background1" w:themeShade="80"/>
                <w:sz w:val="18"/>
                <w:szCs w:val="18"/>
                <w:lang w:val="pl-PL"/>
              </w:rPr>
              <w:br/>
            </w:r>
            <w:r w:rsidR="007640F5" w:rsidRPr="00141BB1">
              <w:rPr>
                <w:b/>
                <w:color w:val="808080" w:themeColor="background1" w:themeShade="80"/>
                <w:sz w:val="18"/>
                <w:szCs w:val="18"/>
                <w:lang w:val="pl-PL"/>
              </w:rPr>
              <w:t>horyzont</w:t>
            </w:r>
          </w:p>
          <w:p w14:paraId="3BCB2ADC" w14:textId="77777777" w:rsidR="00202D0C" w:rsidRPr="006A51D6" w:rsidRDefault="00202D0C" w:rsidP="00141BB1">
            <w:pPr>
              <w:pStyle w:val="EYBulletedList1"/>
              <w:numPr>
                <w:ilvl w:val="0"/>
                <w:numId w:val="0"/>
              </w:numPr>
              <w:spacing w:beforeLines="20" w:before="48" w:afterLines="20" w:after="48"/>
              <w:jc w:val="center"/>
              <w:rPr>
                <w:b/>
                <w:sz w:val="18"/>
                <w:szCs w:val="18"/>
                <w:lang w:val="pl-PL"/>
              </w:rPr>
            </w:pPr>
            <w:r w:rsidRPr="00141BB1">
              <w:rPr>
                <w:b/>
                <w:color w:val="808080" w:themeColor="background1" w:themeShade="80"/>
                <w:sz w:val="18"/>
                <w:szCs w:val="18"/>
                <w:lang w:val="pl-PL"/>
              </w:rPr>
              <w:t xml:space="preserve">- </w:t>
            </w:r>
            <w:r w:rsidR="00141BB1" w:rsidRPr="00141BB1">
              <w:rPr>
                <w:b/>
                <w:color w:val="808080" w:themeColor="background1" w:themeShade="80"/>
                <w:sz w:val="18"/>
                <w:szCs w:val="18"/>
                <w:lang w:val="pl-PL"/>
              </w:rPr>
              <w:t>docelowy</w:t>
            </w:r>
            <w:r w:rsidR="00141BB1" w:rsidRPr="00141BB1">
              <w:rPr>
                <w:b/>
                <w:color w:val="808080" w:themeColor="background1" w:themeShade="80"/>
                <w:sz w:val="18"/>
                <w:szCs w:val="18"/>
                <w:lang w:val="pl-PL"/>
              </w:rPr>
              <w:br/>
              <w:t>model</w:t>
            </w:r>
          </w:p>
        </w:tc>
      </w:tr>
      <w:tr w:rsidR="009F21D5" w:rsidRPr="00CE79B8" w14:paraId="7710F483" w14:textId="77777777" w:rsidTr="00742D29">
        <w:tc>
          <w:tcPr>
            <w:tcW w:w="1318" w:type="dxa"/>
            <w:tcBorders>
              <w:top w:val="single" w:sz="4" w:space="0" w:color="808080" w:themeColor="background1" w:themeShade="80"/>
            </w:tcBorders>
            <w:shd w:val="clear" w:color="auto" w:fill="auto"/>
            <w:vAlign w:val="center"/>
          </w:tcPr>
          <w:p w14:paraId="0E5531C6" w14:textId="77777777" w:rsidR="007640F5" w:rsidRPr="00AF1589" w:rsidRDefault="007640F5" w:rsidP="00174296">
            <w:pPr>
              <w:pStyle w:val="EYBulletedList1"/>
              <w:numPr>
                <w:ilvl w:val="0"/>
                <w:numId w:val="0"/>
              </w:numPr>
              <w:spacing w:beforeLines="20" w:before="48" w:afterLines="20" w:after="48"/>
              <w:rPr>
                <w:sz w:val="18"/>
                <w:szCs w:val="18"/>
                <w:lang w:val="pl-PL"/>
              </w:rPr>
            </w:pPr>
            <w:r>
              <w:rPr>
                <w:sz w:val="18"/>
                <w:szCs w:val="18"/>
                <w:lang w:val="pl-PL"/>
              </w:rPr>
              <w:t>Stacja dializ</w:t>
            </w:r>
          </w:p>
        </w:tc>
        <w:tc>
          <w:tcPr>
            <w:tcW w:w="3218" w:type="dxa"/>
            <w:tcBorders>
              <w:top w:val="single" w:sz="4" w:space="0" w:color="808080" w:themeColor="background1" w:themeShade="80"/>
            </w:tcBorders>
            <w:shd w:val="clear" w:color="auto" w:fill="auto"/>
          </w:tcPr>
          <w:p w14:paraId="75633432" w14:textId="77777777" w:rsidR="007640F5" w:rsidRPr="009B4B30" w:rsidRDefault="007640F5"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Dializa otrzewnowa</w:t>
            </w:r>
          </w:p>
          <w:p w14:paraId="79D65600" w14:textId="77777777" w:rsidR="007640F5" w:rsidRPr="009B4B30" w:rsidRDefault="007640F5"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Hemodializa</w:t>
            </w:r>
          </w:p>
          <w:p w14:paraId="2EAE374F" w14:textId="77777777" w:rsidR="007640F5" w:rsidRPr="009B4B30" w:rsidRDefault="007640F5"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Hemodiafiltracja</w:t>
            </w:r>
          </w:p>
          <w:p w14:paraId="6C8CAE88" w14:textId="77777777" w:rsidR="005D7E27" w:rsidRPr="009B4B30" w:rsidRDefault="005D7E27"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Regulacja gospodarki wapniowo-fosforanowej</w:t>
            </w:r>
          </w:p>
          <w:p w14:paraId="61BFB4EE" w14:textId="77777777" w:rsidR="008F20B1" w:rsidRDefault="008F20B1" w:rsidP="008F20B1">
            <w:pPr>
              <w:pStyle w:val="EYBulletedList1"/>
              <w:numPr>
                <w:ilvl w:val="0"/>
                <w:numId w:val="11"/>
              </w:numPr>
              <w:spacing w:beforeLines="20" w:before="48" w:afterLines="20" w:after="48"/>
              <w:rPr>
                <w:rFonts w:eastAsia="Calibri"/>
                <w:sz w:val="18"/>
                <w:szCs w:val="18"/>
                <w:lang w:val="pl-PL"/>
              </w:rPr>
            </w:pPr>
            <w:r w:rsidRPr="00B11EC5">
              <w:rPr>
                <w:rFonts w:eastAsia="Calibri"/>
                <w:sz w:val="18"/>
                <w:szCs w:val="18"/>
                <w:lang w:val="pl-PL"/>
              </w:rPr>
              <w:t>Wymiana dostępów z powodu niewydolności dotychczasowego dostępu (wtórnych)</w:t>
            </w:r>
          </w:p>
          <w:p w14:paraId="53E2AA00" w14:textId="77777777" w:rsidR="003A0682" w:rsidRPr="009B4B30" w:rsidRDefault="003A0682" w:rsidP="00F84B72">
            <w:pPr>
              <w:pStyle w:val="EYBulletedList1"/>
              <w:numPr>
                <w:ilvl w:val="0"/>
                <w:numId w:val="11"/>
              </w:numPr>
              <w:spacing w:beforeLines="20" w:before="48" w:afterLines="20" w:after="48"/>
              <w:rPr>
                <w:rFonts w:eastAsia="Calibri"/>
                <w:sz w:val="18"/>
                <w:szCs w:val="18"/>
                <w:lang w:val="pl-PL"/>
              </w:rPr>
            </w:pPr>
            <w:r>
              <w:rPr>
                <w:rFonts w:eastAsia="Calibri"/>
                <w:sz w:val="18"/>
                <w:szCs w:val="18"/>
                <w:lang w:val="pl-PL"/>
              </w:rPr>
              <w:t>Leczenie powikłań leczenia nerkozastępczego</w:t>
            </w:r>
            <w:r w:rsidR="00CC3299">
              <w:rPr>
                <w:rFonts w:eastAsia="Calibri"/>
                <w:sz w:val="18"/>
                <w:szCs w:val="18"/>
                <w:lang w:val="pl-PL"/>
              </w:rPr>
              <w:t xml:space="preserve"> w zakresie dostępów</w:t>
            </w:r>
          </w:p>
        </w:tc>
        <w:tc>
          <w:tcPr>
            <w:tcW w:w="1497" w:type="dxa"/>
            <w:tcBorders>
              <w:top w:val="single" w:sz="4" w:space="0" w:color="808080" w:themeColor="background1" w:themeShade="80"/>
              <w:right w:val="single" w:sz="4" w:space="0" w:color="808080" w:themeColor="background1" w:themeShade="80"/>
            </w:tcBorders>
            <w:shd w:val="clear" w:color="auto" w:fill="auto"/>
          </w:tcPr>
          <w:p w14:paraId="39A0AD39" w14:textId="77777777" w:rsidR="007640F5" w:rsidRPr="00D615C1" w:rsidRDefault="007640F5"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64223AC6" w14:textId="77777777" w:rsidR="007640F5" w:rsidRPr="00D615C1" w:rsidRDefault="007640F5"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10359A52" w14:textId="77777777" w:rsidR="007640F5" w:rsidRPr="00D615C1" w:rsidRDefault="005D7E27" w:rsidP="00174296">
            <w:pPr>
              <w:pStyle w:val="EYBulletedList1"/>
              <w:numPr>
                <w:ilvl w:val="0"/>
                <w:numId w:val="0"/>
              </w:numPr>
              <w:spacing w:beforeLines="20" w:before="48" w:afterLines="25" w:after="60"/>
              <w:jc w:val="center"/>
              <w:rPr>
                <w:b/>
                <w:sz w:val="18"/>
                <w:szCs w:val="18"/>
                <w:lang w:val="pl-PL"/>
              </w:rPr>
            </w:pPr>
            <w:r>
              <w:rPr>
                <w:b/>
                <w:sz w:val="18"/>
                <w:szCs w:val="18"/>
                <w:lang w:val="pl-PL"/>
              </w:rPr>
              <w:t>X</w:t>
            </w:r>
          </w:p>
          <w:p w14:paraId="736DEDD7" w14:textId="77777777" w:rsidR="00043EF0" w:rsidRDefault="005D7E27" w:rsidP="005D7E27">
            <w:pPr>
              <w:pStyle w:val="EYBulletedList1"/>
              <w:numPr>
                <w:ilvl w:val="0"/>
                <w:numId w:val="0"/>
              </w:numPr>
              <w:spacing w:beforeLines="20" w:before="48" w:afterLines="25" w:after="60"/>
              <w:jc w:val="center"/>
              <w:rPr>
                <w:b/>
                <w:sz w:val="18"/>
                <w:szCs w:val="18"/>
                <w:lang w:val="pl-PL"/>
              </w:rPr>
            </w:pPr>
            <w:r w:rsidRPr="00D615C1">
              <w:rPr>
                <w:b/>
                <w:sz w:val="18"/>
                <w:szCs w:val="18"/>
                <w:lang w:val="pl-PL"/>
              </w:rPr>
              <w:t xml:space="preserve">√/X </w:t>
            </w:r>
          </w:p>
          <w:p w14:paraId="5B4A37D5" w14:textId="77777777" w:rsidR="005D7E27" w:rsidRDefault="005D7E27" w:rsidP="005D7E27">
            <w:pPr>
              <w:pStyle w:val="EYBulletedList1"/>
              <w:numPr>
                <w:ilvl w:val="0"/>
                <w:numId w:val="0"/>
              </w:numPr>
              <w:spacing w:beforeLines="20" w:before="48" w:afterLines="25" w:after="60"/>
              <w:jc w:val="center"/>
              <w:rPr>
                <w:b/>
                <w:sz w:val="18"/>
                <w:szCs w:val="18"/>
                <w:lang w:val="pl-PL"/>
              </w:rPr>
            </w:pPr>
          </w:p>
          <w:p w14:paraId="494CC16B" w14:textId="77777777" w:rsidR="00420069" w:rsidRDefault="005D7E27" w:rsidP="00E25A64">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20A4F3F3" w14:textId="77777777" w:rsidR="003A0682" w:rsidRDefault="003A0682" w:rsidP="00174296">
            <w:pPr>
              <w:pStyle w:val="EYBulletedList1"/>
              <w:numPr>
                <w:ilvl w:val="0"/>
                <w:numId w:val="0"/>
              </w:numPr>
              <w:spacing w:beforeLines="20" w:before="48" w:afterLines="25" w:after="60"/>
              <w:jc w:val="center"/>
              <w:rPr>
                <w:b/>
                <w:sz w:val="18"/>
                <w:szCs w:val="18"/>
                <w:lang w:val="pl-PL"/>
              </w:rPr>
            </w:pPr>
          </w:p>
          <w:p w14:paraId="732F6F17" w14:textId="77777777" w:rsidR="00722629" w:rsidRDefault="00722629" w:rsidP="00174296">
            <w:pPr>
              <w:pStyle w:val="EYBulletedList1"/>
              <w:numPr>
                <w:ilvl w:val="0"/>
                <w:numId w:val="0"/>
              </w:numPr>
              <w:spacing w:beforeLines="20" w:before="48" w:afterLines="25" w:after="60"/>
              <w:jc w:val="center"/>
              <w:rPr>
                <w:b/>
                <w:sz w:val="18"/>
                <w:szCs w:val="18"/>
                <w:lang w:val="pl-PL"/>
              </w:rPr>
            </w:pPr>
          </w:p>
          <w:p w14:paraId="7DC5BFEF" w14:textId="77777777" w:rsidR="003A0682" w:rsidRPr="00D615C1" w:rsidRDefault="003A0682"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tc>
        <w:tc>
          <w:tcPr>
            <w:tcW w:w="1498"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26613A53"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7B07376C"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5EE6300E" w14:textId="77777777" w:rsidR="003967E3" w:rsidRPr="00D615C1" w:rsidRDefault="003967E3" w:rsidP="003967E3">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3FCE72CF" w14:textId="77777777" w:rsidR="00420069" w:rsidRPr="00D615C1" w:rsidRDefault="00420069"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6E17545A" w14:textId="77777777" w:rsidR="008113B0" w:rsidRDefault="008113B0" w:rsidP="00174296">
            <w:pPr>
              <w:pStyle w:val="EYBulletedList1"/>
              <w:numPr>
                <w:ilvl w:val="0"/>
                <w:numId w:val="0"/>
              </w:numPr>
              <w:spacing w:beforeLines="20" w:before="48" w:afterLines="25" w:after="60"/>
              <w:jc w:val="center"/>
              <w:rPr>
                <w:b/>
                <w:color w:val="00B050"/>
                <w:sz w:val="18"/>
                <w:szCs w:val="18"/>
                <w:lang w:val="pl-PL"/>
              </w:rPr>
            </w:pPr>
          </w:p>
          <w:p w14:paraId="100BE2C8" w14:textId="77777777" w:rsidR="007640F5" w:rsidRDefault="00420069"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3307BD4B" w14:textId="77777777" w:rsidR="003A0682" w:rsidRDefault="003A0682" w:rsidP="00174296">
            <w:pPr>
              <w:pStyle w:val="EYBulletedList1"/>
              <w:numPr>
                <w:ilvl w:val="0"/>
                <w:numId w:val="0"/>
              </w:numPr>
              <w:spacing w:beforeLines="20" w:before="48" w:afterLines="25" w:after="60"/>
              <w:jc w:val="center"/>
              <w:rPr>
                <w:b/>
                <w:color w:val="00B050"/>
                <w:sz w:val="18"/>
                <w:szCs w:val="18"/>
                <w:lang w:val="pl-PL"/>
              </w:rPr>
            </w:pPr>
          </w:p>
          <w:p w14:paraId="4AF5A749" w14:textId="77777777" w:rsidR="00722629" w:rsidRDefault="00722629" w:rsidP="00174296">
            <w:pPr>
              <w:pStyle w:val="EYBulletedList1"/>
              <w:numPr>
                <w:ilvl w:val="0"/>
                <w:numId w:val="0"/>
              </w:numPr>
              <w:spacing w:beforeLines="20" w:before="48" w:afterLines="25" w:after="60"/>
              <w:jc w:val="center"/>
              <w:rPr>
                <w:b/>
                <w:sz w:val="18"/>
                <w:szCs w:val="18"/>
                <w:lang w:val="pl-PL"/>
              </w:rPr>
            </w:pPr>
          </w:p>
          <w:p w14:paraId="4D1F6878" w14:textId="77777777" w:rsidR="003A0682" w:rsidRPr="00420069" w:rsidRDefault="003A0682"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tc>
        <w:tc>
          <w:tcPr>
            <w:tcW w:w="1498" w:type="dxa"/>
            <w:tcBorders>
              <w:top w:val="single" w:sz="4" w:space="0" w:color="808080" w:themeColor="background1" w:themeShade="80"/>
              <w:left w:val="single" w:sz="4" w:space="0" w:color="808080" w:themeColor="background1" w:themeShade="80"/>
              <w:bottom w:val="nil"/>
            </w:tcBorders>
            <w:shd w:val="clear" w:color="auto" w:fill="auto"/>
          </w:tcPr>
          <w:p w14:paraId="48F7B256"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618178EA"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3F088386"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44AA6F57"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597E3744" w14:textId="77777777" w:rsidR="008113B0" w:rsidRDefault="008113B0" w:rsidP="00174296">
            <w:pPr>
              <w:pStyle w:val="EYBulletedList1"/>
              <w:numPr>
                <w:ilvl w:val="0"/>
                <w:numId w:val="0"/>
              </w:numPr>
              <w:spacing w:beforeLines="20" w:before="48" w:afterLines="25" w:after="60"/>
              <w:jc w:val="center"/>
              <w:rPr>
                <w:b/>
                <w:sz w:val="18"/>
                <w:szCs w:val="18"/>
                <w:lang w:val="pl-PL"/>
              </w:rPr>
            </w:pPr>
          </w:p>
          <w:p w14:paraId="5A1B23A9" w14:textId="77777777" w:rsidR="007640F5"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5E34032D" w14:textId="77777777" w:rsidR="003A0682" w:rsidRDefault="003A0682" w:rsidP="00174296">
            <w:pPr>
              <w:pStyle w:val="EYBulletedList1"/>
              <w:numPr>
                <w:ilvl w:val="0"/>
                <w:numId w:val="0"/>
              </w:numPr>
              <w:spacing w:beforeLines="20" w:before="48" w:afterLines="25" w:after="60"/>
              <w:jc w:val="center"/>
              <w:rPr>
                <w:b/>
                <w:sz w:val="18"/>
                <w:szCs w:val="18"/>
                <w:lang w:val="pl-PL"/>
              </w:rPr>
            </w:pPr>
          </w:p>
          <w:p w14:paraId="0C6ACE10" w14:textId="77777777" w:rsidR="00722629" w:rsidRDefault="00722629" w:rsidP="00174296">
            <w:pPr>
              <w:pStyle w:val="EYBulletedList1"/>
              <w:numPr>
                <w:ilvl w:val="0"/>
                <w:numId w:val="0"/>
              </w:numPr>
              <w:spacing w:beforeLines="20" w:before="48" w:afterLines="25" w:after="60"/>
              <w:jc w:val="center"/>
              <w:rPr>
                <w:b/>
                <w:sz w:val="18"/>
                <w:szCs w:val="18"/>
                <w:lang w:val="pl-PL"/>
              </w:rPr>
            </w:pPr>
          </w:p>
          <w:p w14:paraId="786FE0D3" w14:textId="77777777" w:rsidR="003A0682" w:rsidRPr="007640F5" w:rsidRDefault="003A0682" w:rsidP="00174296">
            <w:pPr>
              <w:pStyle w:val="EYBulletedList1"/>
              <w:numPr>
                <w:ilvl w:val="0"/>
                <w:numId w:val="0"/>
              </w:numPr>
              <w:spacing w:beforeLines="20" w:before="48" w:afterLines="25" w:after="60"/>
              <w:jc w:val="center"/>
              <w:rPr>
                <w:sz w:val="18"/>
                <w:szCs w:val="18"/>
                <w:lang w:val="pl-PL"/>
              </w:rPr>
            </w:pPr>
            <w:r w:rsidRPr="00D615C1">
              <w:rPr>
                <w:b/>
                <w:sz w:val="18"/>
                <w:szCs w:val="18"/>
                <w:lang w:val="pl-PL"/>
              </w:rPr>
              <w:t>√</w:t>
            </w:r>
          </w:p>
        </w:tc>
      </w:tr>
      <w:tr w:rsidR="009F21D5" w:rsidRPr="00CE79B8" w14:paraId="711FFE47" w14:textId="77777777" w:rsidTr="00742D29">
        <w:tc>
          <w:tcPr>
            <w:tcW w:w="1318" w:type="dxa"/>
            <w:tcBorders>
              <w:bottom w:val="nil"/>
            </w:tcBorders>
            <w:shd w:val="clear" w:color="auto" w:fill="auto"/>
            <w:vAlign w:val="center"/>
          </w:tcPr>
          <w:p w14:paraId="60813B27" w14:textId="77777777" w:rsidR="007640F5" w:rsidRPr="00AF1589" w:rsidRDefault="007640F5" w:rsidP="00174296">
            <w:pPr>
              <w:pStyle w:val="EYBulletedList1"/>
              <w:numPr>
                <w:ilvl w:val="0"/>
                <w:numId w:val="0"/>
              </w:numPr>
              <w:spacing w:beforeLines="20" w:before="48" w:afterLines="20" w:after="48"/>
              <w:rPr>
                <w:sz w:val="18"/>
                <w:szCs w:val="18"/>
                <w:lang w:val="pl-PL"/>
              </w:rPr>
            </w:pPr>
            <w:r>
              <w:rPr>
                <w:sz w:val="18"/>
                <w:szCs w:val="18"/>
                <w:lang w:val="pl-PL"/>
              </w:rPr>
              <w:t>Poradnia nefrologiczna</w:t>
            </w:r>
          </w:p>
        </w:tc>
        <w:tc>
          <w:tcPr>
            <w:tcW w:w="3218" w:type="dxa"/>
            <w:tcBorders>
              <w:bottom w:val="nil"/>
            </w:tcBorders>
            <w:shd w:val="clear" w:color="auto" w:fill="auto"/>
          </w:tcPr>
          <w:p w14:paraId="58C720DB" w14:textId="77777777" w:rsidR="00AB1BAE" w:rsidRDefault="007640F5" w:rsidP="00F84B72">
            <w:pPr>
              <w:pStyle w:val="EYBulletedList1"/>
              <w:numPr>
                <w:ilvl w:val="0"/>
                <w:numId w:val="11"/>
              </w:numPr>
              <w:spacing w:beforeLines="20" w:before="48" w:afterLines="20" w:after="48"/>
              <w:rPr>
                <w:sz w:val="18"/>
                <w:szCs w:val="18"/>
                <w:lang w:val="pl-PL"/>
              </w:rPr>
            </w:pPr>
            <w:r w:rsidRPr="009B4B30">
              <w:rPr>
                <w:sz w:val="18"/>
                <w:szCs w:val="18"/>
                <w:lang w:val="pl-PL"/>
              </w:rPr>
              <w:t>Porady nefrologiczne</w:t>
            </w:r>
          </w:p>
          <w:p w14:paraId="6A445BA8" w14:textId="24F2CF60" w:rsidR="00722629" w:rsidRPr="00AB1BAE" w:rsidRDefault="008F20B1" w:rsidP="00F84B72">
            <w:pPr>
              <w:pStyle w:val="EYBulletedList1"/>
              <w:numPr>
                <w:ilvl w:val="0"/>
                <w:numId w:val="11"/>
              </w:numPr>
              <w:spacing w:beforeLines="20" w:before="48" w:afterLines="20" w:after="48"/>
              <w:rPr>
                <w:sz w:val="18"/>
                <w:szCs w:val="18"/>
                <w:lang w:val="pl-PL"/>
              </w:rPr>
            </w:pPr>
            <w:r>
              <w:rPr>
                <w:sz w:val="18"/>
                <w:szCs w:val="18"/>
                <w:lang w:val="pl-PL"/>
              </w:rPr>
              <w:t xml:space="preserve">Uprawnienia </w:t>
            </w:r>
            <w:r w:rsidR="00722629">
              <w:rPr>
                <w:sz w:val="18"/>
                <w:szCs w:val="18"/>
                <w:lang w:val="pl-PL"/>
              </w:rPr>
              <w:t xml:space="preserve">lekarza POZ </w:t>
            </w:r>
            <w:r w:rsidR="00737773">
              <w:rPr>
                <w:sz w:val="18"/>
                <w:szCs w:val="18"/>
                <w:lang w:val="pl-PL"/>
              </w:rPr>
              <w:br/>
            </w:r>
            <w:r w:rsidR="00722629">
              <w:rPr>
                <w:sz w:val="18"/>
                <w:szCs w:val="18"/>
                <w:lang w:val="pl-PL"/>
              </w:rPr>
              <w:t>(np.</w:t>
            </w:r>
            <w:r w:rsidR="00737773">
              <w:rPr>
                <w:sz w:val="18"/>
                <w:szCs w:val="18"/>
                <w:lang w:val="pl-PL"/>
              </w:rPr>
              <w:t xml:space="preserve"> </w:t>
            </w:r>
            <w:r w:rsidR="00722629">
              <w:rPr>
                <w:sz w:val="18"/>
                <w:szCs w:val="18"/>
                <w:lang w:val="pl-PL"/>
              </w:rPr>
              <w:t>skierowania, transport, recepty 75+)</w:t>
            </w:r>
          </w:p>
          <w:p w14:paraId="5B7D1DA9" w14:textId="77777777" w:rsidR="007640F5" w:rsidRPr="009B4B30" w:rsidRDefault="005459DE" w:rsidP="00F84B72">
            <w:pPr>
              <w:pStyle w:val="EYBulletedList1"/>
              <w:numPr>
                <w:ilvl w:val="0"/>
                <w:numId w:val="11"/>
              </w:numPr>
              <w:spacing w:beforeLines="20" w:before="48" w:afterLines="20" w:after="48"/>
              <w:rPr>
                <w:rFonts w:eastAsia="Calibri"/>
                <w:sz w:val="18"/>
                <w:szCs w:val="18"/>
                <w:lang w:val="pl-PL"/>
              </w:rPr>
            </w:pPr>
            <w:r>
              <w:rPr>
                <w:rFonts w:eastAsia="Calibri"/>
                <w:sz w:val="18"/>
                <w:szCs w:val="18"/>
                <w:lang w:val="pl-PL"/>
              </w:rPr>
              <w:t>Zapewnienie</w:t>
            </w:r>
            <w:r w:rsidR="007640F5" w:rsidRPr="009B4B30">
              <w:rPr>
                <w:rFonts w:eastAsia="Calibri"/>
                <w:sz w:val="18"/>
                <w:szCs w:val="18"/>
                <w:lang w:val="pl-PL"/>
              </w:rPr>
              <w:t xml:space="preserve"> wytworzenia dostępu naczyniowego</w:t>
            </w:r>
            <w:r w:rsidR="00043EF0" w:rsidRPr="009B4B30">
              <w:rPr>
                <w:rFonts w:eastAsia="Calibri"/>
                <w:sz w:val="18"/>
                <w:szCs w:val="18"/>
                <w:lang w:val="pl-PL"/>
              </w:rPr>
              <w:t xml:space="preserve"> lub otrzewnowego</w:t>
            </w:r>
          </w:p>
          <w:p w14:paraId="69E7D03B" w14:textId="2E394446" w:rsidR="00F8072A" w:rsidRPr="00013784" w:rsidRDefault="00B6627A" w:rsidP="00F84B72">
            <w:pPr>
              <w:pStyle w:val="EYBulletedList1"/>
              <w:numPr>
                <w:ilvl w:val="0"/>
                <w:numId w:val="11"/>
              </w:numPr>
              <w:spacing w:beforeLines="20" w:before="48" w:afterLines="20" w:after="48"/>
              <w:rPr>
                <w:sz w:val="18"/>
                <w:szCs w:val="18"/>
                <w:lang w:val="pl-PL"/>
              </w:rPr>
            </w:pPr>
            <w:r>
              <w:rPr>
                <w:sz w:val="18"/>
                <w:szCs w:val="18"/>
                <w:lang w:val="pl-PL"/>
              </w:rPr>
              <w:t xml:space="preserve">Przygotowanie do zgłoszenia </w:t>
            </w:r>
            <w:r w:rsidR="00F8072A" w:rsidRPr="00013784">
              <w:rPr>
                <w:sz w:val="18"/>
                <w:szCs w:val="18"/>
                <w:lang w:val="pl-PL"/>
              </w:rPr>
              <w:t>do przeszczepienia</w:t>
            </w:r>
          </w:p>
          <w:p w14:paraId="7D2C6097" w14:textId="77777777" w:rsidR="00F8072A" w:rsidRPr="009B4B30" w:rsidRDefault="00F8072A" w:rsidP="00F84B72">
            <w:pPr>
              <w:pStyle w:val="EYBulletedList1"/>
              <w:numPr>
                <w:ilvl w:val="0"/>
                <w:numId w:val="11"/>
              </w:numPr>
              <w:spacing w:beforeLines="20" w:before="48" w:afterLines="20" w:after="48"/>
              <w:rPr>
                <w:b/>
                <w:sz w:val="18"/>
                <w:szCs w:val="18"/>
                <w:lang w:val="pl-PL"/>
              </w:rPr>
            </w:pPr>
            <w:r w:rsidRPr="009B4B30">
              <w:rPr>
                <w:b/>
                <w:sz w:val="18"/>
                <w:szCs w:val="18"/>
                <w:lang w:val="pl-PL"/>
              </w:rPr>
              <w:t>Koordynowanie opieki</w:t>
            </w:r>
          </w:p>
          <w:p w14:paraId="2A82760C" w14:textId="77777777" w:rsidR="007640F5" w:rsidRPr="009B4B30" w:rsidRDefault="007640F5" w:rsidP="00F84B72">
            <w:pPr>
              <w:pStyle w:val="EYBulletedList1"/>
              <w:numPr>
                <w:ilvl w:val="0"/>
                <w:numId w:val="11"/>
              </w:numPr>
              <w:spacing w:beforeLines="20" w:before="48" w:afterLines="20" w:after="48"/>
              <w:rPr>
                <w:sz w:val="18"/>
                <w:szCs w:val="18"/>
                <w:lang w:val="pl-PL"/>
              </w:rPr>
            </w:pPr>
            <w:r w:rsidRPr="009B4B30">
              <w:rPr>
                <w:sz w:val="18"/>
                <w:szCs w:val="18"/>
                <w:lang w:val="pl-PL"/>
              </w:rPr>
              <w:t>Opieka dietetyka</w:t>
            </w:r>
          </w:p>
          <w:p w14:paraId="69F76121" w14:textId="77777777" w:rsidR="007640F5" w:rsidRPr="009B4B30" w:rsidRDefault="007640F5" w:rsidP="00F84B72">
            <w:pPr>
              <w:pStyle w:val="EYBulletedList1"/>
              <w:numPr>
                <w:ilvl w:val="0"/>
                <w:numId w:val="11"/>
              </w:numPr>
              <w:spacing w:beforeLines="20" w:before="48" w:afterLines="20" w:after="48"/>
              <w:rPr>
                <w:sz w:val="18"/>
                <w:szCs w:val="18"/>
                <w:lang w:val="pl-PL"/>
              </w:rPr>
            </w:pPr>
            <w:r w:rsidRPr="009B4B30">
              <w:rPr>
                <w:sz w:val="18"/>
                <w:szCs w:val="18"/>
                <w:lang w:val="pl-PL"/>
              </w:rPr>
              <w:t>Opieka psychologiczna</w:t>
            </w:r>
          </w:p>
          <w:p w14:paraId="525626B9" w14:textId="77777777" w:rsidR="007640F5" w:rsidRDefault="007640F5" w:rsidP="00F84B72">
            <w:pPr>
              <w:pStyle w:val="EYBulletedList1"/>
              <w:numPr>
                <w:ilvl w:val="0"/>
                <w:numId w:val="11"/>
              </w:numPr>
              <w:spacing w:beforeLines="20" w:before="48" w:afterLines="20" w:after="48"/>
              <w:rPr>
                <w:sz w:val="18"/>
                <w:szCs w:val="18"/>
                <w:lang w:val="pl-PL"/>
              </w:rPr>
            </w:pPr>
            <w:r w:rsidRPr="009B4B30">
              <w:rPr>
                <w:sz w:val="18"/>
                <w:szCs w:val="18"/>
                <w:lang w:val="pl-PL"/>
              </w:rPr>
              <w:t>Edukacja pacjenta</w:t>
            </w:r>
          </w:p>
          <w:p w14:paraId="33200680" w14:textId="6EA63776" w:rsidR="00572FF4" w:rsidRPr="009B4B30" w:rsidRDefault="00572FF4" w:rsidP="00F84B72">
            <w:pPr>
              <w:pStyle w:val="EYBulletedList1"/>
              <w:numPr>
                <w:ilvl w:val="0"/>
                <w:numId w:val="11"/>
              </w:numPr>
              <w:spacing w:beforeLines="20" w:before="48" w:afterLines="20" w:after="48"/>
              <w:rPr>
                <w:sz w:val="18"/>
                <w:szCs w:val="18"/>
                <w:lang w:val="pl-PL"/>
              </w:rPr>
            </w:pPr>
            <w:r>
              <w:rPr>
                <w:sz w:val="18"/>
                <w:szCs w:val="18"/>
                <w:lang w:val="pl-PL"/>
              </w:rPr>
              <w:t>Zabiegi fizjoterapeutyczne</w:t>
            </w:r>
          </w:p>
          <w:p w14:paraId="4E186B16" w14:textId="77777777" w:rsidR="007640F5" w:rsidRPr="009B4B30" w:rsidRDefault="007640F5" w:rsidP="00F84B72">
            <w:pPr>
              <w:pStyle w:val="EYBulletedList1"/>
              <w:numPr>
                <w:ilvl w:val="0"/>
                <w:numId w:val="11"/>
              </w:numPr>
              <w:spacing w:beforeLines="20" w:before="48" w:afterLines="20" w:after="48"/>
              <w:rPr>
                <w:sz w:val="18"/>
                <w:szCs w:val="18"/>
                <w:lang w:val="pl-PL"/>
              </w:rPr>
            </w:pPr>
            <w:r w:rsidRPr="009B4B30">
              <w:rPr>
                <w:sz w:val="18"/>
                <w:szCs w:val="18"/>
                <w:lang w:val="pl-PL"/>
              </w:rPr>
              <w:t>Opieka diabetologiczna</w:t>
            </w:r>
          </w:p>
          <w:p w14:paraId="19D109B4" w14:textId="77777777" w:rsidR="007640F5" w:rsidRPr="009B4B30" w:rsidRDefault="007640F5" w:rsidP="00F84B72">
            <w:pPr>
              <w:pStyle w:val="EYBulletedList1"/>
              <w:numPr>
                <w:ilvl w:val="0"/>
                <w:numId w:val="11"/>
              </w:numPr>
              <w:spacing w:beforeLines="20" w:before="48" w:afterLines="20" w:after="48"/>
              <w:rPr>
                <w:sz w:val="18"/>
                <w:szCs w:val="18"/>
                <w:lang w:val="pl-PL"/>
              </w:rPr>
            </w:pPr>
            <w:r w:rsidRPr="009B4B30">
              <w:rPr>
                <w:sz w:val="18"/>
                <w:szCs w:val="18"/>
                <w:lang w:val="pl-PL"/>
              </w:rPr>
              <w:t>Opieka kardiologiczna</w:t>
            </w:r>
          </w:p>
          <w:p w14:paraId="2F4E7C02" w14:textId="77777777" w:rsidR="00174296" w:rsidRPr="009B4B30" w:rsidRDefault="00174296" w:rsidP="00F84B72">
            <w:pPr>
              <w:pStyle w:val="EYBulletedList1"/>
              <w:numPr>
                <w:ilvl w:val="0"/>
                <w:numId w:val="11"/>
              </w:numPr>
              <w:spacing w:beforeLines="20" w:before="48" w:afterLines="20" w:after="48"/>
              <w:rPr>
                <w:sz w:val="18"/>
                <w:szCs w:val="18"/>
                <w:lang w:val="pl-PL"/>
              </w:rPr>
            </w:pPr>
            <w:r w:rsidRPr="009B4B30">
              <w:rPr>
                <w:sz w:val="18"/>
                <w:szCs w:val="18"/>
                <w:lang w:val="pl-PL"/>
              </w:rPr>
              <w:t>Opieka innych specjalistów</w:t>
            </w:r>
          </w:p>
        </w:tc>
        <w:tc>
          <w:tcPr>
            <w:tcW w:w="1497" w:type="dxa"/>
            <w:tcBorders>
              <w:bottom w:val="nil"/>
              <w:right w:val="single" w:sz="4" w:space="0" w:color="808080" w:themeColor="background1" w:themeShade="80"/>
            </w:tcBorders>
            <w:shd w:val="clear" w:color="auto" w:fill="auto"/>
          </w:tcPr>
          <w:p w14:paraId="70F818F0"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78E1A293" w14:textId="77777777" w:rsidR="00737773" w:rsidRDefault="00737773" w:rsidP="00174296">
            <w:pPr>
              <w:pStyle w:val="EYBulletedList1"/>
              <w:numPr>
                <w:ilvl w:val="0"/>
                <w:numId w:val="0"/>
              </w:numPr>
              <w:spacing w:beforeLines="20" w:before="48" w:afterLines="25" w:after="60"/>
              <w:jc w:val="center"/>
              <w:rPr>
                <w:b/>
                <w:sz w:val="18"/>
                <w:szCs w:val="18"/>
                <w:lang w:val="pl-PL"/>
              </w:rPr>
            </w:pPr>
            <w:r>
              <w:rPr>
                <w:b/>
                <w:sz w:val="18"/>
                <w:szCs w:val="18"/>
                <w:lang w:val="pl-PL"/>
              </w:rPr>
              <w:t>x</w:t>
            </w:r>
          </w:p>
          <w:p w14:paraId="0326D71E" w14:textId="77777777" w:rsidR="00737773" w:rsidRDefault="00737773" w:rsidP="00174296">
            <w:pPr>
              <w:pStyle w:val="EYBulletedList1"/>
              <w:numPr>
                <w:ilvl w:val="0"/>
                <w:numId w:val="0"/>
              </w:numPr>
              <w:spacing w:beforeLines="20" w:before="48" w:afterLines="25" w:after="60"/>
              <w:jc w:val="center"/>
              <w:rPr>
                <w:b/>
                <w:sz w:val="18"/>
                <w:szCs w:val="18"/>
                <w:lang w:val="pl-PL"/>
              </w:rPr>
            </w:pPr>
          </w:p>
          <w:p w14:paraId="04175B2A" w14:textId="77777777" w:rsidR="00737773" w:rsidRDefault="00737773" w:rsidP="00174296">
            <w:pPr>
              <w:pStyle w:val="EYBulletedList1"/>
              <w:numPr>
                <w:ilvl w:val="0"/>
                <w:numId w:val="0"/>
              </w:numPr>
              <w:spacing w:beforeLines="20" w:before="48" w:afterLines="25" w:after="60"/>
              <w:jc w:val="center"/>
              <w:rPr>
                <w:b/>
                <w:sz w:val="18"/>
                <w:szCs w:val="18"/>
                <w:lang w:val="pl-PL"/>
              </w:rPr>
            </w:pPr>
          </w:p>
          <w:p w14:paraId="0F1115C2"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1D7C6020"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p>
          <w:p w14:paraId="7E61E9F5" w14:textId="77777777" w:rsidR="00B6627A" w:rsidRDefault="00B6627A">
            <w:pPr>
              <w:pStyle w:val="EYBulletedList1"/>
              <w:numPr>
                <w:ilvl w:val="0"/>
                <w:numId w:val="0"/>
              </w:numPr>
              <w:spacing w:beforeLines="20" w:before="48" w:afterLines="25" w:after="60"/>
              <w:jc w:val="center"/>
              <w:rPr>
                <w:b/>
                <w:sz w:val="18"/>
                <w:szCs w:val="18"/>
                <w:lang w:val="pl-PL"/>
              </w:rPr>
            </w:pPr>
          </w:p>
          <w:p w14:paraId="4780801B" w14:textId="77777777" w:rsidR="00D615C1" w:rsidRPr="00D615C1" w:rsidRDefault="00D615C1">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27BF7127"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76649F29"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0D3AD85E"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258B33FD"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79AA9756" w14:textId="207CA69F" w:rsidR="00572FF4" w:rsidRDefault="00572FF4" w:rsidP="00174296">
            <w:pPr>
              <w:pStyle w:val="EYBulletedList1"/>
              <w:numPr>
                <w:ilvl w:val="0"/>
                <w:numId w:val="0"/>
              </w:numPr>
              <w:spacing w:beforeLines="20" w:before="48" w:afterLines="25" w:after="60"/>
              <w:jc w:val="center"/>
              <w:rPr>
                <w:b/>
                <w:sz w:val="18"/>
                <w:szCs w:val="18"/>
                <w:lang w:val="pl-PL"/>
              </w:rPr>
            </w:pPr>
            <w:r>
              <w:rPr>
                <w:b/>
                <w:sz w:val="18"/>
                <w:szCs w:val="18"/>
                <w:lang w:val="pl-PL"/>
              </w:rPr>
              <w:t>x</w:t>
            </w:r>
          </w:p>
          <w:p w14:paraId="68564055" w14:textId="77777777" w:rsidR="00420069"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4FEEEB66" w14:textId="77777777" w:rsidR="007640F5" w:rsidRPr="00D615C1" w:rsidRDefault="00420069"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1C13252B" w14:textId="141014A7" w:rsidR="00174296" w:rsidRPr="00D615C1" w:rsidRDefault="00D615C1">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tc>
        <w:tc>
          <w:tcPr>
            <w:tcW w:w="149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2585A529" w14:textId="1C6AA741" w:rsidR="00420069" w:rsidRPr="00835025" w:rsidRDefault="005807B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131DD4C3" w14:textId="77777777" w:rsidR="00737773" w:rsidRDefault="00737773">
            <w:pPr>
              <w:pStyle w:val="EYBulletedList1"/>
              <w:numPr>
                <w:ilvl w:val="0"/>
                <w:numId w:val="0"/>
              </w:numPr>
              <w:spacing w:beforeLines="20" w:before="48" w:afterLines="25" w:after="60"/>
              <w:jc w:val="center"/>
              <w:rPr>
                <w:b/>
                <w:color w:val="00B050"/>
                <w:sz w:val="18"/>
                <w:szCs w:val="18"/>
                <w:lang w:val="pl-PL"/>
              </w:rPr>
            </w:pPr>
            <w:r>
              <w:rPr>
                <w:b/>
                <w:color w:val="00B050"/>
                <w:sz w:val="18"/>
                <w:szCs w:val="18"/>
                <w:lang w:val="pl-PL"/>
              </w:rPr>
              <w:t>√</w:t>
            </w:r>
          </w:p>
          <w:p w14:paraId="7A77FF86" w14:textId="77777777" w:rsidR="00737773" w:rsidRDefault="00737773" w:rsidP="00174296">
            <w:pPr>
              <w:pStyle w:val="EYBulletedList1"/>
              <w:numPr>
                <w:ilvl w:val="0"/>
                <w:numId w:val="0"/>
              </w:numPr>
              <w:spacing w:beforeLines="20" w:before="48" w:afterLines="25" w:after="60"/>
              <w:jc w:val="center"/>
              <w:rPr>
                <w:b/>
                <w:color w:val="00B050"/>
                <w:sz w:val="18"/>
                <w:szCs w:val="18"/>
                <w:lang w:val="pl-PL"/>
              </w:rPr>
            </w:pPr>
          </w:p>
          <w:p w14:paraId="6892AAD8" w14:textId="77777777" w:rsidR="00737773" w:rsidRDefault="00737773" w:rsidP="00174296">
            <w:pPr>
              <w:pStyle w:val="EYBulletedList1"/>
              <w:numPr>
                <w:ilvl w:val="0"/>
                <w:numId w:val="0"/>
              </w:numPr>
              <w:spacing w:beforeLines="20" w:before="48" w:afterLines="25" w:after="60"/>
              <w:jc w:val="center"/>
              <w:rPr>
                <w:b/>
                <w:color w:val="00B050"/>
                <w:sz w:val="18"/>
                <w:szCs w:val="18"/>
                <w:lang w:val="pl-PL"/>
              </w:rPr>
            </w:pPr>
          </w:p>
          <w:p w14:paraId="5DB10159" w14:textId="77777777" w:rsidR="00420069" w:rsidRPr="00D615C1" w:rsidRDefault="00420069"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6A8DAE36" w14:textId="77777777" w:rsidR="00420069" w:rsidRPr="00D615C1" w:rsidRDefault="00420069" w:rsidP="00174296">
            <w:pPr>
              <w:pStyle w:val="EYBulletedList1"/>
              <w:numPr>
                <w:ilvl w:val="0"/>
                <w:numId w:val="0"/>
              </w:numPr>
              <w:spacing w:beforeLines="20" w:before="48" w:afterLines="25" w:after="60"/>
              <w:jc w:val="center"/>
              <w:rPr>
                <w:b/>
                <w:color w:val="00B050"/>
                <w:sz w:val="18"/>
                <w:szCs w:val="18"/>
                <w:lang w:val="pl-PL"/>
              </w:rPr>
            </w:pPr>
          </w:p>
          <w:p w14:paraId="0D595EE8" w14:textId="77777777" w:rsidR="00B6627A" w:rsidRDefault="00B6627A">
            <w:pPr>
              <w:pStyle w:val="EYBulletedList1"/>
              <w:numPr>
                <w:ilvl w:val="0"/>
                <w:numId w:val="0"/>
              </w:numPr>
              <w:spacing w:beforeLines="20" w:before="48" w:afterLines="25" w:after="60"/>
              <w:jc w:val="center"/>
              <w:rPr>
                <w:b/>
                <w:color w:val="00B050"/>
                <w:sz w:val="18"/>
                <w:szCs w:val="18"/>
                <w:lang w:val="pl-PL"/>
              </w:rPr>
            </w:pPr>
          </w:p>
          <w:p w14:paraId="5861499F" w14:textId="77777777" w:rsidR="00AB1BAE" w:rsidRPr="00AB1BAE" w:rsidRDefault="00AB1BAE">
            <w:pPr>
              <w:pStyle w:val="EYBulletedList1"/>
              <w:numPr>
                <w:ilvl w:val="0"/>
                <w:numId w:val="0"/>
              </w:numPr>
              <w:spacing w:beforeLines="20" w:before="48" w:afterLines="25" w:after="60"/>
              <w:jc w:val="center"/>
              <w:rPr>
                <w:b/>
                <w:color w:val="00B050"/>
                <w:sz w:val="18"/>
                <w:szCs w:val="18"/>
                <w:lang w:val="pl-PL"/>
              </w:rPr>
            </w:pPr>
            <w:r>
              <w:rPr>
                <w:b/>
                <w:color w:val="00B050"/>
                <w:sz w:val="18"/>
                <w:szCs w:val="18"/>
                <w:lang w:val="pl-PL"/>
              </w:rPr>
              <w:t>√</w:t>
            </w:r>
          </w:p>
          <w:p w14:paraId="27524A34" w14:textId="77777777" w:rsidR="00420069" w:rsidRPr="00D615C1" w:rsidRDefault="00420069"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1AF586E2" w14:textId="77777777" w:rsidR="00420069" w:rsidRPr="00D615C1" w:rsidRDefault="00420069"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58444558" w14:textId="77777777" w:rsidR="00D615C1" w:rsidRPr="00D615C1" w:rsidRDefault="00D615C1"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4E25387B" w14:textId="77777777" w:rsidR="00D615C1" w:rsidRPr="00D615C1" w:rsidRDefault="00D615C1"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6910D649" w14:textId="558C70A1" w:rsidR="00572FF4" w:rsidRPr="00835025" w:rsidRDefault="00572FF4">
            <w:pPr>
              <w:pStyle w:val="EYBulletedList1"/>
              <w:numPr>
                <w:ilvl w:val="0"/>
                <w:numId w:val="0"/>
              </w:numPr>
              <w:spacing w:beforeLines="20" w:before="48" w:afterLines="25" w:after="60"/>
              <w:jc w:val="center"/>
              <w:rPr>
                <w:b/>
                <w:color w:val="00B050"/>
                <w:sz w:val="18"/>
                <w:szCs w:val="18"/>
                <w:lang w:val="pl-PL"/>
              </w:rPr>
            </w:pPr>
            <w:r>
              <w:rPr>
                <w:b/>
                <w:color w:val="00B050"/>
                <w:sz w:val="18"/>
                <w:szCs w:val="18"/>
                <w:lang w:val="pl-PL"/>
              </w:rPr>
              <w:t>√</w:t>
            </w:r>
          </w:p>
          <w:p w14:paraId="04F495A9" w14:textId="77777777" w:rsidR="00420069" w:rsidRPr="00420069" w:rsidRDefault="00420069" w:rsidP="00174296">
            <w:pPr>
              <w:pStyle w:val="EYBulletedList1"/>
              <w:numPr>
                <w:ilvl w:val="0"/>
                <w:numId w:val="0"/>
              </w:numPr>
              <w:spacing w:beforeLines="20" w:before="48" w:afterLines="25" w:after="60"/>
              <w:jc w:val="center"/>
              <w:rPr>
                <w:b/>
                <w:sz w:val="18"/>
                <w:szCs w:val="18"/>
                <w:lang w:val="pl-PL"/>
              </w:rPr>
            </w:pPr>
            <w:r w:rsidRPr="00420069">
              <w:rPr>
                <w:b/>
                <w:sz w:val="18"/>
                <w:szCs w:val="18"/>
                <w:lang w:val="pl-PL"/>
              </w:rPr>
              <w:t>X</w:t>
            </w:r>
          </w:p>
          <w:p w14:paraId="361E391B" w14:textId="77777777" w:rsidR="00420069" w:rsidRDefault="00420069" w:rsidP="00174296">
            <w:pPr>
              <w:pStyle w:val="EYBulletedList1"/>
              <w:numPr>
                <w:ilvl w:val="0"/>
                <w:numId w:val="0"/>
              </w:numPr>
              <w:spacing w:beforeLines="20" w:before="48" w:afterLines="25" w:after="60"/>
              <w:jc w:val="center"/>
              <w:rPr>
                <w:b/>
                <w:sz w:val="18"/>
                <w:szCs w:val="18"/>
                <w:lang w:val="pl-PL"/>
              </w:rPr>
            </w:pPr>
            <w:r w:rsidRPr="00420069">
              <w:rPr>
                <w:b/>
                <w:sz w:val="18"/>
                <w:szCs w:val="18"/>
                <w:lang w:val="pl-PL"/>
              </w:rPr>
              <w:t>X</w:t>
            </w:r>
          </w:p>
          <w:p w14:paraId="4495A0D1" w14:textId="6F7813D5" w:rsidR="00174296" w:rsidRPr="00D615C1" w:rsidRDefault="00D615C1">
            <w:pPr>
              <w:pStyle w:val="EYBulletedList1"/>
              <w:numPr>
                <w:ilvl w:val="0"/>
                <w:numId w:val="0"/>
              </w:numPr>
              <w:spacing w:beforeLines="20" w:before="48" w:afterLines="25" w:after="60"/>
              <w:jc w:val="center"/>
              <w:rPr>
                <w:b/>
                <w:sz w:val="18"/>
                <w:szCs w:val="18"/>
                <w:lang w:val="pl-PL"/>
              </w:rPr>
            </w:pPr>
            <w:r w:rsidRPr="00420069">
              <w:rPr>
                <w:b/>
                <w:sz w:val="18"/>
                <w:szCs w:val="18"/>
                <w:lang w:val="pl-PL"/>
              </w:rPr>
              <w:t>X</w:t>
            </w:r>
          </w:p>
        </w:tc>
        <w:tc>
          <w:tcPr>
            <w:tcW w:w="1498" w:type="dxa"/>
            <w:tcBorders>
              <w:top w:val="nil"/>
              <w:left w:val="single" w:sz="4" w:space="0" w:color="808080" w:themeColor="background1" w:themeShade="80"/>
              <w:bottom w:val="nil"/>
            </w:tcBorders>
            <w:shd w:val="clear" w:color="auto" w:fill="auto"/>
          </w:tcPr>
          <w:p w14:paraId="3B474998" w14:textId="77777777" w:rsidR="00D615C1" w:rsidRPr="00D615C1" w:rsidRDefault="00D615C1"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38DF13A0" w14:textId="77777777" w:rsidR="00737773" w:rsidRDefault="00737773">
            <w:pPr>
              <w:pStyle w:val="EYBulletedList1"/>
              <w:numPr>
                <w:ilvl w:val="0"/>
                <w:numId w:val="0"/>
              </w:numPr>
              <w:spacing w:beforeLines="20" w:before="48" w:afterLines="25" w:after="60"/>
              <w:jc w:val="center"/>
              <w:rPr>
                <w:b/>
                <w:sz w:val="18"/>
                <w:szCs w:val="18"/>
                <w:lang w:val="pl-PL"/>
              </w:rPr>
            </w:pPr>
            <w:r>
              <w:rPr>
                <w:b/>
                <w:sz w:val="18"/>
                <w:szCs w:val="18"/>
                <w:lang w:val="pl-PL"/>
              </w:rPr>
              <w:t>√</w:t>
            </w:r>
          </w:p>
          <w:p w14:paraId="6100BEEF" w14:textId="77777777" w:rsidR="00737773" w:rsidRDefault="00737773" w:rsidP="00174296">
            <w:pPr>
              <w:pStyle w:val="EYBulletedList1"/>
              <w:numPr>
                <w:ilvl w:val="0"/>
                <w:numId w:val="0"/>
              </w:numPr>
              <w:spacing w:beforeLines="20" w:before="48" w:afterLines="25" w:after="60"/>
              <w:jc w:val="center"/>
              <w:rPr>
                <w:b/>
                <w:sz w:val="18"/>
                <w:szCs w:val="18"/>
                <w:lang w:val="pl-PL"/>
              </w:rPr>
            </w:pPr>
          </w:p>
          <w:p w14:paraId="74A9C08C" w14:textId="77777777" w:rsidR="00737773" w:rsidRDefault="00737773" w:rsidP="00174296">
            <w:pPr>
              <w:pStyle w:val="EYBulletedList1"/>
              <w:numPr>
                <w:ilvl w:val="0"/>
                <w:numId w:val="0"/>
              </w:numPr>
              <w:spacing w:beforeLines="20" w:before="48" w:afterLines="25" w:after="60"/>
              <w:jc w:val="center"/>
              <w:rPr>
                <w:b/>
                <w:sz w:val="18"/>
                <w:szCs w:val="18"/>
                <w:lang w:val="pl-PL"/>
              </w:rPr>
            </w:pPr>
          </w:p>
          <w:p w14:paraId="2F4CA004" w14:textId="77777777" w:rsidR="00D615C1" w:rsidRPr="00D615C1" w:rsidRDefault="00D615C1"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29A37553" w14:textId="77777777" w:rsidR="00D615C1" w:rsidRPr="00D615C1" w:rsidRDefault="00D615C1" w:rsidP="00174296">
            <w:pPr>
              <w:pStyle w:val="EYBulletedList1"/>
              <w:numPr>
                <w:ilvl w:val="0"/>
                <w:numId w:val="0"/>
              </w:numPr>
              <w:spacing w:beforeLines="20" w:before="48" w:afterLines="25" w:after="60"/>
              <w:jc w:val="center"/>
              <w:rPr>
                <w:b/>
                <w:sz w:val="18"/>
                <w:szCs w:val="18"/>
                <w:lang w:val="pl-PL"/>
              </w:rPr>
            </w:pPr>
          </w:p>
          <w:p w14:paraId="389AAA59" w14:textId="77777777" w:rsidR="00B6627A" w:rsidRDefault="00B6627A">
            <w:pPr>
              <w:pStyle w:val="EYBulletedList1"/>
              <w:numPr>
                <w:ilvl w:val="0"/>
                <w:numId w:val="0"/>
              </w:numPr>
              <w:spacing w:beforeLines="20" w:before="48" w:afterLines="25" w:after="60"/>
              <w:jc w:val="center"/>
              <w:rPr>
                <w:b/>
                <w:sz w:val="18"/>
                <w:szCs w:val="18"/>
                <w:lang w:val="pl-PL"/>
              </w:rPr>
            </w:pPr>
          </w:p>
          <w:p w14:paraId="7ED8A9A5" w14:textId="77777777" w:rsidR="00D615C1" w:rsidRPr="00D615C1" w:rsidRDefault="00AB1BAE">
            <w:pPr>
              <w:pStyle w:val="EYBulletedList1"/>
              <w:numPr>
                <w:ilvl w:val="0"/>
                <w:numId w:val="0"/>
              </w:numPr>
              <w:spacing w:beforeLines="20" w:before="48" w:afterLines="25" w:after="60"/>
              <w:jc w:val="center"/>
              <w:rPr>
                <w:b/>
                <w:sz w:val="18"/>
                <w:szCs w:val="18"/>
                <w:lang w:val="pl-PL"/>
              </w:rPr>
            </w:pPr>
            <w:r>
              <w:rPr>
                <w:b/>
                <w:sz w:val="18"/>
                <w:szCs w:val="18"/>
                <w:lang w:val="pl-PL"/>
              </w:rPr>
              <w:t>√</w:t>
            </w:r>
          </w:p>
          <w:p w14:paraId="58F11D7E" w14:textId="77777777" w:rsidR="00D615C1" w:rsidRPr="00D615C1" w:rsidRDefault="00D615C1"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35056309" w14:textId="77777777" w:rsidR="00D615C1" w:rsidRPr="00D615C1" w:rsidRDefault="00D615C1"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2AB51834" w14:textId="77777777" w:rsidR="00D615C1" w:rsidRPr="00D615C1" w:rsidRDefault="00D615C1" w:rsidP="00174296">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006E44C2" w14:textId="77777777" w:rsidR="00D615C1" w:rsidRDefault="00D615C1" w:rsidP="00174296">
            <w:pPr>
              <w:pStyle w:val="EYBulletedList1"/>
              <w:numPr>
                <w:ilvl w:val="0"/>
                <w:numId w:val="0"/>
              </w:numPr>
              <w:spacing w:beforeLines="20" w:before="48" w:afterLines="25" w:after="60"/>
              <w:jc w:val="center"/>
              <w:rPr>
                <w:b/>
                <w:color w:val="00B050"/>
                <w:sz w:val="18"/>
                <w:szCs w:val="18"/>
                <w:lang w:val="pl-PL"/>
              </w:rPr>
            </w:pPr>
            <w:r w:rsidRPr="00D615C1">
              <w:rPr>
                <w:b/>
                <w:sz w:val="18"/>
                <w:szCs w:val="18"/>
                <w:lang w:val="pl-PL"/>
              </w:rPr>
              <w:t>√</w:t>
            </w:r>
          </w:p>
          <w:p w14:paraId="6097D32A" w14:textId="77777777" w:rsidR="00572FF4" w:rsidRDefault="00572FF4" w:rsidP="00572FF4">
            <w:pPr>
              <w:pStyle w:val="EYBulletedList1"/>
              <w:numPr>
                <w:ilvl w:val="0"/>
                <w:numId w:val="0"/>
              </w:numPr>
              <w:spacing w:beforeLines="20" w:before="48" w:afterLines="25" w:after="60"/>
              <w:jc w:val="center"/>
              <w:rPr>
                <w:b/>
                <w:color w:val="00B050"/>
                <w:sz w:val="18"/>
                <w:szCs w:val="18"/>
                <w:lang w:val="pl-PL"/>
              </w:rPr>
            </w:pPr>
            <w:r w:rsidRPr="00D615C1">
              <w:rPr>
                <w:b/>
                <w:sz w:val="18"/>
                <w:szCs w:val="18"/>
                <w:lang w:val="pl-PL"/>
              </w:rPr>
              <w:t>√</w:t>
            </w:r>
          </w:p>
          <w:p w14:paraId="21506CFE" w14:textId="77777777" w:rsidR="00D615C1" w:rsidRPr="00D615C1" w:rsidRDefault="00D615C1" w:rsidP="00174296">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25720DB0" w14:textId="77777777" w:rsidR="007640F5" w:rsidRPr="00D615C1" w:rsidRDefault="00D615C1" w:rsidP="00174296">
            <w:pPr>
              <w:pStyle w:val="EYBulletedList1"/>
              <w:numPr>
                <w:ilvl w:val="0"/>
                <w:numId w:val="0"/>
              </w:numPr>
              <w:spacing w:beforeLines="20" w:before="48" w:afterLines="20" w:after="48"/>
              <w:jc w:val="center"/>
              <w:rPr>
                <w:b/>
                <w:color w:val="00B050"/>
                <w:sz w:val="18"/>
                <w:szCs w:val="18"/>
                <w:lang w:val="pl-PL"/>
              </w:rPr>
            </w:pPr>
            <w:r w:rsidRPr="00D615C1">
              <w:rPr>
                <w:b/>
                <w:color w:val="00B050"/>
                <w:sz w:val="18"/>
                <w:szCs w:val="18"/>
                <w:lang w:val="pl-PL"/>
              </w:rPr>
              <w:t>√</w:t>
            </w:r>
          </w:p>
          <w:p w14:paraId="17494670" w14:textId="7B2C0C53" w:rsidR="00174296" w:rsidRPr="00174296" w:rsidRDefault="00D615C1">
            <w:pPr>
              <w:pStyle w:val="EYBulletedList1"/>
              <w:numPr>
                <w:ilvl w:val="0"/>
                <w:numId w:val="0"/>
              </w:numPr>
              <w:spacing w:beforeLines="20" w:before="48" w:afterLines="20" w:after="48"/>
              <w:jc w:val="center"/>
              <w:rPr>
                <w:b/>
                <w:color w:val="00B050"/>
                <w:sz w:val="18"/>
                <w:szCs w:val="18"/>
                <w:lang w:val="pl-PL"/>
              </w:rPr>
            </w:pPr>
            <w:r w:rsidRPr="00D615C1">
              <w:rPr>
                <w:b/>
                <w:color w:val="00B050"/>
                <w:sz w:val="18"/>
                <w:szCs w:val="18"/>
                <w:lang w:val="pl-PL"/>
              </w:rPr>
              <w:t>√</w:t>
            </w:r>
          </w:p>
        </w:tc>
      </w:tr>
      <w:tr w:rsidR="00742D29" w:rsidRPr="006B58AB" w14:paraId="0DBEE0B2" w14:textId="77777777" w:rsidTr="00742D29">
        <w:tc>
          <w:tcPr>
            <w:tcW w:w="9029" w:type="dxa"/>
            <w:gridSpan w:val="5"/>
            <w:tcBorders>
              <w:top w:val="nil"/>
              <w:bottom w:val="nil"/>
            </w:tcBorders>
            <w:shd w:val="clear" w:color="auto" w:fill="auto"/>
            <w:vAlign w:val="center"/>
          </w:tcPr>
          <w:p w14:paraId="67F4799B" w14:textId="77777777" w:rsidR="00141BB1" w:rsidRDefault="00141BB1" w:rsidP="00835025">
            <w:pPr>
              <w:pStyle w:val="EYBulletedList1"/>
              <w:numPr>
                <w:ilvl w:val="0"/>
                <w:numId w:val="0"/>
              </w:numPr>
              <w:spacing w:before="0" w:after="0" w:line="240" w:lineRule="auto"/>
              <w:rPr>
                <w:b/>
                <w:sz w:val="16"/>
                <w:szCs w:val="18"/>
                <w:lang w:val="pl-PL"/>
              </w:rPr>
            </w:pPr>
          </w:p>
          <w:p w14:paraId="28EA0CBF" w14:textId="77777777" w:rsidR="00141BB1" w:rsidRPr="00141BB1" w:rsidRDefault="00141BB1" w:rsidP="00141BB1">
            <w:pPr>
              <w:pStyle w:val="EYBulletedList1"/>
              <w:numPr>
                <w:ilvl w:val="0"/>
                <w:numId w:val="0"/>
              </w:numPr>
              <w:spacing w:before="0" w:after="0" w:line="240" w:lineRule="auto"/>
              <w:ind w:left="5279"/>
              <w:rPr>
                <w:b/>
                <w:sz w:val="16"/>
                <w:szCs w:val="18"/>
                <w:lang w:val="pl-PL"/>
              </w:rPr>
            </w:pPr>
            <w:r w:rsidRPr="00141BB1">
              <w:rPr>
                <w:b/>
                <w:sz w:val="16"/>
                <w:szCs w:val="18"/>
                <w:lang w:val="pl-PL"/>
              </w:rPr>
              <w:t>Legenda:</w:t>
            </w:r>
          </w:p>
          <w:p w14:paraId="35F7C245" w14:textId="77777777" w:rsidR="00742D29" w:rsidRPr="00141BB1" w:rsidRDefault="00742D29" w:rsidP="00141BB1">
            <w:pPr>
              <w:pStyle w:val="EYBulletedList1"/>
              <w:numPr>
                <w:ilvl w:val="0"/>
                <w:numId w:val="0"/>
              </w:numPr>
              <w:spacing w:before="0" w:after="0" w:line="240" w:lineRule="auto"/>
              <w:ind w:left="5279"/>
              <w:rPr>
                <w:sz w:val="16"/>
                <w:szCs w:val="18"/>
                <w:lang w:val="pl-PL"/>
              </w:rPr>
            </w:pPr>
            <w:r w:rsidRPr="00141BB1">
              <w:rPr>
                <w:b/>
                <w:sz w:val="16"/>
                <w:szCs w:val="18"/>
                <w:lang w:val="pl-PL"/>
              </w:rPr>
              <w:t>√</w:t>
            </w:r>
            <w:r w:rsidRPr="00141BB1">
              <w:rPr>
                <w:sz w:val="16"/>
                <w:szCs w:val="18"/>
                <w:lang w:val="pl-PL"/>
              </w:rPr>
              <w:t xml:space="preserve">      </w:t>
            </w:r>
            <w:r w:rsidR="00141BB1">
              <w:rPr>
                <w:sz w:val="16"/>
                <w:szCs w:val="18"/>
                <w:lang w:val="pl-PL"/>
              </w:rPr>
              <w:t xml:space="preserve"> </w:t>
            </w:r>
            <w:r w:rsidRPr="00141BB1">
              <w:rPr>
                <w:sz w:val="16"/>
                <w:szCs w:val="18"/>
                <w:lang w:val="pl-PL"/>
              </w:rPr>
              <w:t xml:space="preserve"> w zakresie odpowiedzialności</w:t>
            </w:r>
          </w:p>
          <w:p w14:paraId="7CE4A475" w14:textId="77777777" w:rsidR="00742D29" w:rsidRPr="00141BB1" w:rsidRDefault="00742D29" w:rsidP="00141BB1">
            <w:pPr>
              <w:pStyle w:val="EYBulletedList1"/>
              <w:numPr>
                <w:ilvl w:val="0"/>
                <w:numId w:val="0"/>
              </w:numPr>
              <w:spacing w:before="0" w:after="0" w:line="240" w:lineRule="auto"/>
              <w:ind w:left="5279"/>
              <w:rPr>
                <w:sz w:val="16"/>
                <w:szCs w:val="18"/>
                <w:lang w:val="pl-PL"/>
              </w:rPr>
            </w:pPr>
            <w:r w:rsidRPr="00141BB1">
              <w:rPr>
                <w:b/>
                <w:sz w:val="16"/>
                <w:szCs w:val="18"/>
                <w:lang w:val="pl-PL"/>
              </w:rPr>
              <w:t>√/X</w:t>
            </w:r>
            <w:r w:rsidRPr="00141BB1">
              <w:rPr>
                <w:sz w:val="16"/>
                <w:szCs w:val="18"/>
                <w:lang w:val="pl-PL"/>
              </w:rPr>
              <w:t xml:space="preserve">   </w:t>
            </w:r>
            <w:r w:rsidR="00141BB1">
              <w:rPr>
                <w:sz w:val="16"/>
                <w:szCs w:val="18"/>
                <w:lang w:val="pl-PL"/>
              </w:rPr>
              <w:t xml:space="preserve"> </w:t>
            </w:r>
            <w:r w:rsidRPr="00141BB1">
              <w:rPr>
                <w:sz w:val="16"/>
                <w:szCs w:val="18"/>
                <w:lang w:val="pl-PL"/>
              </w:rPr>
              <w:t>częściowo w zakresie odpowiedzialności</w:t>
            </w:r>
          </w:p>
          <w:p w14:paraId="6A862313" w14:textId="77777777" w:rsidR="00742D29" w:rsidRPr="00141BB1" w:rsidRDefault="00742D29" w:rsidP="00141BB1">
            <w:pPr>
              <w:pStyle w:val="EYBulletedList1"/>
              <w:numPr>
                <w:ilvl w:val="0"/>
                <w:numId w:val="0"/>
              </w:numPr>
              <w:spacing w:before="0" w:after="0" w:line="240" w:lineRule="auto"/>
              <w:ind w:left="5279"/>
              <w:rPr>
                <w:sz w:val="16"/>
                <w:szCs w:val="18"/>
                <w:lang w:val="pl-PL"/>
              </w:rPr>
            </w:pPr>
            <w:r w:rsidRPr="00141BB1">
              <w:rPr>
                <w:b/>
                <w:sz w:val="16"/>
                <w:szCs w:val="18"/>
                <w:lang w:val="pl-PL"/>
              </w:rPr>
              <w:t>X</w:t>
            </w:r>
            <w:r w:rsidRPr="00141BB1">
              <w:rPr>
                <w:sz w:val="16"/>
                <w:szCs w:val="18"/>
                <w:lang w:val="pl-PL"/>
              </w:rPr>
              <w:t xml:space="preserve">       </w:t>
            </w:r>
            <w:r w:rsidR="00141BB1">
              <w:rPr>
                <w:sz w:val="16"/>
                <w:szCs w:val="18"/>
                <w:lang w:val="pl-PL"/>
              </w:rPr>
              <w:t xml:space="preserve"> </w:t>
            </w:r>
            <w:r w:rsidRPr="00141BB1">
              <w:rPr>
                <w:sz w:val="16"/>
                <w:szCs w:val="18"/>
                <w:lang w:val="pl-PL"/>
              </w:rPr>
              <w:t>poza zakresem odpowiedzialności</w:t>
            </w:r>
          </w:p>
          <w:p w14:paraId="36FC726F" w14:textId="323CF14C" w:rsidR="00A71D2A" w:rsidRPr="00141BB1" w:rsidRDefault="00742D29">
            <w:pPr>
              <w:pStyle w:val="EYBulletedList1"/>
              <w:numPr>
                <w:ilvl w:val="0"/>
                <w:numId w:val="0"/>
              </w:numPr>
              <w:spacing w:before="0" w:after="0" w:line="240" w:lineRule="auto"/>
              <w:ind w:left="5279"/>
              <w:rPr>
                <w:sz w:val="16"/>
                <w:szCs w:val="18"/>
                <w:lang w:val="pl-PL"/>
              </w:rPr>
            </w:pPr>
            <w:r w:rsidRPr="00141BB1">
              <w:rPr>
                <w:b/>
                <w:color w:val="00B050"/>
                <w:sz w:val="16"/>
                <w:szCs w:val="18"/>
                <w:lang w:val="pl-PL"/>
              </w:rPr>
              <w:t>√</w:t>
            </w:r>
            <w:r w:rsidRPr="00141BB1">
              <w:rPr>
                <w:sz w:val="16"/>
                <w:szCs w:val="18"/>
                <w:lang w:val="pl-PL"/>
              </w:rPr>
              <w:t xml:space="preserve">       </w:t>
            </w:r>
            <w:r w:rsidR="00141BB1">
              <w:rPr>
                <w:sz w:val="16"/>
                <w:szCs w:val="18"/>
                <w:lang w:val="pl-PL"/>
              </w:rPr>
              <w:t xml:space="preserve"> </w:t>
            </w:r>
            <w:r w:rsidRPr="00141BB1">
              <w:rPr>
                <w:sz w:val="16"/>
                <w:szCs w:val="18"/>
                <w:lang w:val="pl-PL"/>
              </w:rPr>
              <w:t>włączone do zakresu odpowiedzialności</w:t>
            </w:r>
            <w:r w:rsidR="00A71D2A">
              <w:rPr>
                <w:sz w:val="16"/>
                <w:szCs w:val="18"/>
                <w:lang w:val="pl-PL"/>
              </w:rPr>
              <w:t xml:space="preserve">      </w:t>
            </w:r>
          </w:p>
        </w:tc>
      </w:tr>
    </w:tbl>
    <w:p w14:paraId="6EBED45E" w14:textId="77777777" w:rsidR="00174296" w:rsidRPr="00725B58" w:rsidRDefault="00174296" w:rsidP="00174296">
      <w:pPr>
        <w:spacing w:before="0" w:after="0" w:line="240" w:lineRule="auto"/>
        <w:rPr>
          <w:rFonts w:eastAsia="Calibri"/>
          <w:sz w:val="18"/>
          <w:lang w:val="pl-PL"/>
        </w:rPr>
      </w:pPr>
      <w:r w:rsidRPr="007F20C3">
        <w:rPr>
          <w:rFonts w:eastAsia="Calibri"/>
          <w:sz w:val="18"/>
          <w:lang w:val="pl-PL"/>
        </w:rPr>
        <w:t>Źródło: Opracowanie własne EY</w:t>
      </w:r>
    </w:p>
    <w:p w14:paraId="29E613D5" w14:textId="7D10CE62" w:rsidR="00043EF0" w:rsidRDefault="00AB1BAE" w:rsidP="00A91B63">
      <w:pPr>
        <w:rPr>
          <w:lang w:val="pl-PL"/>
        </w:rPr>
      </w:pPr>
      <w:r>
        <w:rPr>
          <w:lang w:val="pl-PL"/>
        </w:rPr>
        <w:t>W zakresie opieki nad pacjentem dializowanym p</w:t>
      </w:r>
      <w:r w:rsidR="00043EF0">
        <w:rPr>
          <w:lang w:val="pl-PL"/>
        </w:rPr>
        <w:t xml:space="preserve">roponowany model opieki uwzględnia scalenie </w:t>
      </w:r>
      <w:r w:rsidR="005C580E">
        <w:rPr>
          <w:lang w:val="pl-PL"/>
        </w:rPr>
        <w:t xml:space="preserve">w jednostce koordynującej </w:t>
      </w:r>
      <w:r w:rsidR="00043EF0">
        <w:rPr>
          <w:lang w:val="pl-PL"/>
        </w:rPr>
        <w:t>dotychczasowych odpowiedzialności będących w kompetencji stacji dializ i poradni nefrologicznych</w:t>
      </w:r>
      <w:r w:rsidR="00C90117">
        <w:rPr>
          <w:lang w:val="pl-PL"/>
        </w:rPr>
        <w:t xml:space="preserve"> w obszarze opieki nad pacjentem w zaawansowanym stadium </w:t>
      </w:r>
      <w:proofErr w:type="spellStart"/>
      <w:r w:rsidR="00C90117">
        <w:rPr>
          <w:lang w:val="pl-PL"/>
        </w:rPr>
        <w:t>PChN</w:t>
      </w:r>
      <w:proofErr w:type="spellEnd"/>
      <w:r w:rsidR="00043EF0">
        <w:rPr>
          <w:lang w:val="pl-PL"/>
        </w:rPr>
        <w:t>, tj. dializowanie pacjentów i</w:t>
      </w:r>
      <w:r w:rsidR="00F8072A">
        <w:rPr>
          <w:lang w:val="pl-PL"/>
        </w:rPr>
        <w:t> </w:t>
      </w:r>
      <w:r w:rsidR="00043EF0">
        <w:rPr>
          <w:lang w:val="pl-PL"/>
        </w:rPr>
        <w:t>udzielanie im porad nefrologicznych („</w:t>
      </w:r>
      <w:r w:rsidR="00043EF0" w:rsidRPr="00043EF0">
        <w:rPr>
          <w:lang w:val="pl-PL"/>
        </w:rPr>
        <w:t>√</w:t>
      </w:r>
      <w:r w:rsidR="00043EF0">
        <w:rPr>
          <w:lang w:val="pl-PL"/>
        </w:rPr>
        <w:t xml:space="preserve">”). W zakresie uzupełnienia </w:t>
      </w:r>
      <w:r w:rsidR="00043EF0">
        <w:rPr>
          <w:lang w:val="pl-PL"/>
        </w:rPr>
        <w:lastRenderedPageBreak/>
        <w:t xml:space="preserve">odpowiedzialności </w:t>
      </w:r>
      <w:r w:rsidR="005C580E">
        <w:rPr>
          <w:lang w:val="pl-PL"/>
        </w:rPr>
        <w:t xml:space="preserve">w jednostce koordynującej </w:t>
      </w:r>
      <w:r w:rsidR="00F8072A">
        <w:rPr>
          <w:lang w:val="pl-PL"/>
        </w:rPr>
        <w:t xml:space="preserve">w proponowanym modelu </w:t>
      </w:r>
      <w:r w:rsidR="00043EF0">
        <w:rPr>
          <w:lang w:val="pl-PL"/>
        </w:rPr>
        <w:t xml:space="preserve">w </w:t>
      </w:r>
      <w:r w:rsidR="00162734">
        <w:rPr>
          <w:lang w:val="pl-PL"/>
        </w:rPr>
        <w:t xml:space="preserve">krótkim horyzoncie czasowym </w:t>
      </w:r>
      <w:r w:rsidR="00043EF0">
        <w:rPr>
          <w:lang w:val="pl-PL"/>
        </w:rPr>
        <w:t>(„</w:t>
      </w:r>
      <w:r w:rsidR="00043EF0" w:rsidRPr="00043EF0">
        <w:rPr>
          <w:color w:val="00B050"/>
          <w:lang w:val="pl-PL"/>
        </w:rPr>
        <w:t>√</w:t>
      </w:r>
      <w:r w:rsidR="00043EF0">
        <w:rPr>
          <w:lang w:val="pl-PL"/>
        </w:rPr>
        <w:t>”) zaleca się:</w:t>
      </w:r>
    </w:p>
    <w:p w14:paraId="7A93AB9E" w14:textId="77777777" w:rsidR="00D7580F" w:rsidRPr="001E35A3" w:rsidRDefault="00162734" w:rsidP="00F84B72">
      <w:pPr>
        <w:pStyle w:val="EYBulletedList1"/>
        <w:numPr>
          <w:ilvl w:val="0"/>
          <w:numId w:val="14"/>
        </w:numPr>
        <w:jc w:val="both"/>
        <w:rPr>
          <w:rFonts w:eastAsia="Calibri"/>
          <w:sz w:val="22"/>
          <w:lang w:val="pl-PL"/>
        </w:rPr>
      </w:pPr>
      <w:r>
        <w:rPr>
          <w:rFonts w:eastAsia="Calibri"/>
          <w:sz w:val="22"/>
          <w:lang w:val="pl-PL"/>
        </w:rPr>
        <w:t>przekazanie</w:t>
      </w:r>
      <w:r w:rsidR="00043EF0" w:rsidRPr="008113B0">
        <w:rPr>
          <w:rFonts w:eastAsia="Calibri"/>
          <w:sz w:val="22"/>
          <w:lang w:val="pl-PL"/>
        </w:rPr>
        <w:t xml:space="preserve"> odpowiedzialności za </w:t>
      </w:r>
      <w:r w:rsidR="005459DE">
        <w:rPr>
          <w:rFonts w:eastAsia="Calibri"/>
          <w:sz w:val="22"/>
          <w:lang w:val="pl-PL"/>
        </w:rPr>
        <w:t>zapewnienie</w:t>
      </w:r>
      <w:r w:rsidR="00043EF0" w:rsidRPr="008113B0">
        <w:rPr>
          <w:rFonts w:eastAsia="Calibri"/>
          <w:sz w:val="22"/>
          <w:lang w:val="pl-PL"/>
        </w:rPr>
        <w:t xml:space="preserve"> wytworzenia dostępu naczyniowego lub otrzewnowego oraz za jego </w:t>
      </w:r>
      <w:r w:rsidR="00AB1BAE">
        <w:rPr>
          <w:rFonts w:eastAsia="Calibri"/>
          <w:sz w:val="22"/>
          <w:lang w:val="pl-PL"/>
        </w:rPr>
        <w:t>utrzymanie</w:t>
      </w:r>
      <w:r w:rsidR="00272514">
        <w:rPr>
          <w:rFonts w:eastAsia="Calibri"/>
          <w:sz w:val="22"/>
          <w:lang w:val="pl-PL"/>
        </w:rPr>
        <w:t xml:space="preserve"> </w:t>
      </w:r>
      <w:r w:rsidR="00043EF0" w:rsidRPr="008113B0">
        <w:rPr>
          <w:rFonts w:eastAsia="Calibri"/>
          <w:sz w:val="22"/>
          <w:lang w:val="pl-PL"/>
        </w:rPr>
        <w:t>i leczenie powikłań</w:t>
      </w:r>
      <w:r w:rsidR="003A0682">
        <w:rPr>
          <w:rFonts w:eastAsia="Calibri"/>
          <w:sz w:val="22"/>
          <w:lang w:val="pl-PL"/>
        </w:rPr>
        <w:t xml:space="preserve"> leczenia nerkozastępczego</w:t>
      </w:r>
      <w:r w:rsidR="00D7580F">
        <w:rPr>
          <w:rFonts w:eastAsia="Calibri"/>
          <w:sz w:val="22"/>
          <w:lang w:val="pl-PL"/>
        </w:rPr>
        <w:t xml:space="preserve"> w zakresie dostępów</w:t>
      </w:r>
      <w:r w:rsidR="00310710">
        <w:rPr>
          <w:rFonts w:eastAsia="Calibri"/>
          <w:sz w:val="22"/>
          <w:lang w:val="pl-PL"/>
        </w:rPr>
        <w:t>. Takie rozwiązanie pozwoli na</w:t>
      </w:r>
      <w:r w:rsidR="005459DE">
        <w:rPr>
          <w:rFonts w:eastAsia="Calibri"/>
          <w:sz w:val="22"/>
          <w:lang w:val="pl-PL"/>
        </w:rPr>
        <w:t xml:space="preserve"> skoncentrowanie odpowiedzialności za jakość i </w:t>
      </w:r>
      <w:r w:rsidR="00CC3299">
        <w:rPr>
          <w:rFonts w:eastAsia="Calibri"/>
          <w:sz w:val="22"/>
          <w:lang w:val="pl-PL"/>
        </w:rPr>
        <w:t>moment</w:t>
      </w:r>
      <w:r w:rsidR="005459DE">
        <w:rPr>
          <w:rFonts w:eastAsia="Calibri"/>
          <w:sz w:val="22"/>
          <w:lang w:val="pl-PL"/>
        </w:rPr>
        <w:t xml:space="preserve"> wytworzenia dostępów, co z kolei </w:t>
      </w:r>
      <w:r w:rsidR="00CC3299">
        <w:rPr>
          <w:rFonts w:eastAsia="Calibri"/>
          <w:sz w:val="22"/>
          <w:lang w:val="pl-PL"/>
        </w:rPr>
        <w:t>powinno przełożyć</w:t>
      </w:r>
      <w:r w:rsidR="005459DE">
        <w:rPr>
          <w:rFonts w:eastAsia="Calibri"/>
          <w:sz w:val="22"/>
          <w:lang w:val="pl-PL"/>
        </w:rPr>
        <w:t xml:space="preserve"> się na zmniejszony od</w:t>
      </w:r>
      <w:r w:rsidR="005C580E">
        <w:rPr>
          <w:rFonts w:eastAsia="Calibri"/>
          <w:sz w:val="22"/>
          <w:lang w:val="pl-PL"/>
        </w:rPr>
        <w:t xml:space="preserve">setek powikłań </w:t>
      </w:r>
      <w:r w:rsidR="005C580E" w:rsidRPr="001E35A3">
        <w:rPr>
          <w:rFonts w:eastAsia="Calibri"/>
          <w:sz w:val="22"/>
          <w:lang w:val="pl-PL"/>
        </w:rPr>
        <w:t>wśród pacjentów</w:t>
      </w:r>
    </w:p>
    <w:p w14:paraId="0E2BB30E" w14:textId="6701ADF9" w:rsidR="005C580E" w:rsidRPr="001E35A3" w:rsidRDefault="005C580E" w:rsidP="00F84B72">
      <w:pPr>
        <w:pStyle w:val="EYBulletedList1"/>
        <w:numPr>
          <w:ilvl w:val="0"/>
          <w:numId w:val="14"/>
        </w:numPr>
        <w:jc w:val="both"/>
        <w:rPr>
          <w:rFonts w:eastAsia="Calibri"/>
          <w:sz w:val="22"/>
          <w:lang w:val="pl-PL"/>
        </w:rPr>
      </w:pPr>
      <w:r w:rsidRPr="001E35A3">
        <w:rPr>
          <w:rFonts w:eastAsia="Calibri"/>
          <w:sz w:val="22"/>
          <w:lang w:val="pl-PL"/>
        </w:rPr>
        <w:t>przekazanie odpowiedzialności za</w:t>
      </w:r>
      <w:r w:rsidR="00B6627A">
        <w:rPr>
          <w:rFonts w:eastAsia="Calibri"/>
          <w:sz w:val="22"/>
          <w:lang w:val="pl-PL"/>
        </w:rPr>
        <w:t xml:space="preserve"> przygotowanie do zgłoszenia</w:t>
      </w:r>
      <w:r w:rsidRPr="001E35A3">
        <w:rPr>
          <w:rFonts w:eastAsia="Calibri"/>
          <w:sz w:val="22"/>
          <w:lang w:val="pl-PL"/>
        </w:rPr>
        <w:t xml:space="preserve"> do przeszczepienia. Zapewnienie w jednostce koordynującej badań na wszystkich etapach oceny możliwości zgłoszenia chorego na listę biorców </w:t>
      </w:r>
      <w:r w:rsidR="00CC3299" w:rsidRPr="001E35A3">
        <w:rPr>
          <w:rFonts w:eastAsia="Calibri"/>
          <w:sz w:val="22"/>
          <w:lang w:val="pl-PL"/>
        </w:rPr>
        <w:t>powinno skrócić i uprościć</w:t>
      </w:r>
      <w:r w:rsidRPr="001E35A3">
        <w:rPr>
          <w:rFonts w:eastAsia="Calibri"/>
          <w:sz w:val="22"/>
          <w:lang w:val="pl-PL"/>
        </w:rPr>
        <w:t xml:space="preserve"> proces kwalifikacji do przeszczepienia</w:t>
      </w:r>
    </w:p>
    <w:p w14:paraId="3D80CDDE" w14:textId="1AE1FACC" w:rsidR="00022E3D" w:rsidRPr="00477F06" w:rsidRDefault="00022E3D" w:rsidP="00F84B72">
      <w:pPr>
        <w:pStyle w:val="EYBulletedList1"/>
        <w:numPr>
          <w:ilvl w:val="0"/>
          <w:numId w:val="14"/>
        </w:numPr>
        <w:jc w:val="both"/>
        <w:rPr>
          <w:rFonts w:eastAsia="Calibri"/>
          <w:sz w:val="22"/>
          <w:lang w:val="pl-PL"/>
        </w:rPr>
      </w:pPr>
      <w:r>
        <w:rPr>
          <w:rFonts w:eastAsia="Calibri"/>
          <w:sz w:val="22"/>
          <w:lang w:val="pl-PL"/>
        </w:rPr>
        <w:t xml:space="preserve">rozszerzenie odpowiedzialności w zakresie regulacji gospodarki wapniowo-fosforanowej na pacjentów dializowanych </w:t>
      </w:r>
      <w:r w:rsidR="005807B6">
        <w:rPr>
          <w:rFonts w:eastAsia="Calibri"/>
          <w:sz w:val="22"/>
          <w:lang w:val="pl-PL"/>
        </w:rPr>
        <w:t xml:space="preserve">wymagających takiego leczenia </w:t>
      </w:r>
      <w:r>
        <w:rPr>
          <w:rFonts w:eastAsia="Calibri"/>
          <w:sz w:val="22"/>
          <w:lang w:val="pl-PL"/>
        </w:rPr>
        <w:t>poprzez zniesienie program</w:t>
      </w:r>
      <w:r w:rsidR="000A21FC">
        <w:rPr>
          <w:rFonts w:eastAsia="Calibri"/>
          <w:sz w:val="22"/>
          <w:lang w:val="pl-PL"/>
        </w:rPr>
        <w:t>ów</w:t>
      </w:r>
      <w:r>
        <w:rPr>
          <w:rFonts w:eastAsia="Calibri"/>
          <w:sz w:val="22"/>
          <w:lang w:val="pl-PL"/>
        </w:rPr>
        <w:t xml:space="preserve"> lekow</w:t>
      </w:r>
      <w:r w:rsidR="000A21FC">
        <w:rPr>
          <w:rFonts w:eastAsia="Calibri"/>
          <w:sz w:val="22"/>
          <w:lang w:val="pl-PL"/>
        </w:rPr>
        <w:t>ych</w:t>
      </w:r>
      <w:r>
        <w:rPr>
          <w:rFonts w:eastAsia="Calibri"/>
          <w:sz w:val="22"/>
          <w:lang w:val="pl-PL"/>
        </w:rPr>
        <w:t xml:space="preserve"> </w:t>
      </w:r>
      <w:r w:rsidRPr="00162734">
        <w:rPr>
          <w:rFonts w:eastAsia="Calibri"/>
          <w:sz w:val="22"/>
          <w:lang w:val="pl-PL"/>
        </w:rPr>
        <w:t>„Leczenie wtórnej nadczynności przytarczyc u pacjentów hemodializowanych”</w:t>
      </w:r>
      <w:r w:rsidR="000A21FC">
        <w:rPr>
          <w:rFonts w:eastAsia="Calibri"/>
          <w:sz w:val="22"/>
          <w:lang w:val="pl-PL"/>
        </w:rPr>
        <w:t xml:space="preserve"> oraz „Leczenie </w:t>
      </w:r>
      <w:proofErr w:type="spellStart"/>
      <w:r w:rsidR="000A21FC">
        <w:rPr>
          <w:rFonts w:eastAsia="Calibri"/>
          <w:sz w:val="22"/>
          <w:lang w:val="pl-PL"/>
        </w:rPr>
        <w:t>parykalcytolem</w:t>
      </w:r>
      <w:proofErr w:type="spellEnd"/>
      <w:r w:rsidR="000A21FC">
        <w:rPr>
          <w:rFonts w:eastAsia="Calibri"/>
          <w:sz w:val="22"/>
          <w:lang w:val="pl-PL"/>
        </w:rPr>
        <w:t xml:space="preserve"> wtórej nadczynności przytarczyc u pacjentów hemodializowanych”</w:t>
      </w:r>
      <w:r>
        <w:rPr>
          <w:rFonts w:eastAsia="Calibri"/>
          <w:sz w:val="22"/>
          <w:lang w:val="pl-PL"/>
        </w:rPr>
        <w:t>. Proponuje się utrzymanie</w:t>
      </w:r>
      <w:r w:rsidRPr="005C580E">
        <w:rPr>
          <w:rFonts w:eastAsia="Calibri"/>
          <w:sz w:val="22"/>
          <w:lang w:val="pl-PL"/>
        </w:rPr>
        <w:t xml:space="preserve"> </w:t>
      </w:r>
      <w:r>
        <w:rPr>
          <w:rFonts w:eastAsia="Calibri"/>
          <w:sz w:val="22"/>
          <w:lang w:val="pl-PL"/>
        </w:rPr>
        <w:t xml:space="preserve">aktualnego poziomu finansowania, wprowadzenie wytycznych dotyczących zagregowanych wyników zdrowotnych pacjentów i realizację świadczeń w zakresie regulacji gospodarki wapniowo-fosforanowej dla </w:t>
      </w:r>
      <w:r w:rsidR="00572FF4">
        <w:rPr>
          <w:rFonts w:eastAsia="Calibri"/>
          <w:sz w:val="22"/>
          <w:lang w:val="pl-PL"/>
        </w:rPr>
        <w:t xml:space="preserve">pacjentów </w:t>
      </w:r>
      <w:r>
        <w:rPr>
          <w:rFonts w:eastAsia="Calibri"/>
          <w:sz w:val="22"/>
          <w:lang w:val="pl-PL"/>
        </w:rPr>
        <w:t>dializowanych potrzebujących opieki w tym zakresie</w:t>
      </w:r>
    </w:p>
    <w:p w14:paraId="116696D1" w14:textId="4E6F02C8" w:rsidR="0069074F" w:rsidRPr="000F69EA" w:rsidRDefault="0069074F" w:rsidP="00F84B72">
      <w:pPr>
        <w:pStyle w:val="EYBulletedList1"/>
        <w:numPr>
          <w:ilvl w:val="0"/>
          <w:numId w:val="14"/>
        </w:numPr>
        <w:jc w:val="both"/>
        <w:rPr>
          <w:rFonts w:eastAsia="Calibri"/>
          <w:sz w:val="22"/>
          <w:lang w:val="pl-PL"/>
        </w:rPr>
      </w:pPr>
      <w:r w:rsidRPr="000F69EA">
        <w:rPr>
          <w:rFonts w:eastAsia="Calibri"/>
          <w:sz w:val="22"/>
          <w:lang w:val="pl-PL"/>
        </w:rPr>
        <w:t xml:space="preserve">przekazanie </w:t>
      </w:r>
      <w:r w:rsidR="00392AC9">
        <w:rPr>
          <w:rFonts w:eastAsia="Calibri"/>
          <w:sz w:val="22"/>
          <w:lang w:val="pl-PL"/>
        </w:rPr>
        <w:t>części uprawnień</w:t>
      </w:r>
      <w:r w:rsidR="00392AC9" w:rsidRPr="000F69EA">
        <w:rPr>
          <w:rFonts w:eastAsia="Calibri"/>
          <w:sz w:val="22"/>
          <w:lang w:val="pl-PL"/>
        </w:rPr>
        <w:t xml:space="preserve"> </w:t>
      </w:r>
      <w:r w:rsidRPr="000F69EA">
        <w:rPr>
          <w:rFonts w:eastAsia="Calibri"/>
          <w:sz w:val="22"/>
          <w:lang w:val="pl-PL"/>
        </w:rPr>
        <w:t xml:space="preserve">lekarza POZ w celu poprawy efektywności procesu leczenia poprzez zmniejszenie ilości wizyt w placówkach medycznych i skrócenie czasu oczekiwania na poszczególne świadczenia. Przykładem </w:t>
      </w:r>
      <w:r w:rsidR="00572FF4">
        <w:rPr>
          <w:rFonts w:eastAsia="Calibri"/>
          <w:sz w:val="22"/>
          <w:lang w:val="pl-PL"/>
        </w:rPr>
        <w:t>uprawnień</w:t>
      </w:r>
      <w:r w:rsidRPr="000F69EA">
        <w:rPr>
          <w:rFonts w:eastAsia="Calibri"/>
          <w:sz w:val="22"/>
          <w:lang w:val="pl-PL"/>
        </w:rPr>
        <w:t xml:space="preserve">, które potrzebne są jednostce koordynującej do sprawnego funkcjonowania są m.in. </w:t>
      </w:r>
      <w:r w:rsidR="00572FF4">
        <w:rPr>
          <w:rFonts w:eastAsia="Calibri"/>
          <w:sz w:val="22"/>
          <w:lang w:val="pl-PL"/>
        </w:rPr>
        <w:t>kierowanie</w:t>
      </w:r>
      <w:r w:rsidRPr="000F69EA">
        <w:rPr>
          <w:rFonts w:eastAsia="Calibri"/>
          <w:sz w:val="22"/>
          <w:lang w:val="pl-PL"/>
        </w:rPr>
        <w:t xml:space="preserve"> na badania, zlecanie transportu medycznego czy też </w:t>
      </w:r>
      <w:r w:rsidR="00572FF4">
        <w:rPr>
          <w:rFonts w:eastAsia="Calibri"/>
          <w:sz w:val="22"/>
          <w:lang w:val="pl-PL"/>
        </w:rPr>
        <w:t>wystawianie</w:t>
      </w:r>
      <w:r w:rsidR="00572FF4" w:rsidRPr="000F69EA">
        <w:rPr>
          <w:rFonts w:eastAsia="Calibri"/>
          <w:sz w:val="22"/>
          <w:lang w:val="pl-PL"/>
        </w:rPr>
        <w:t xml:space="preserve"> </w:t>
      </w:r>
      <w:r w:rsidRPr="000F69EA">
        <w:rPr>
          <w:rFonts w:eastAsia="Calibri"/>
          <w:sz w:val="22"/>
          <w:lang w:val="pl-PL"/>
        </w:rPr>
        <w:t>recept 75+</w:t>
      </w:r>
      <w:r w:rsidR="000F69EA" w:rsidRPr="004E62AC">
        <w:rPr>
          <w:rFonts w:eastAsia="Calibri"/>
          <w:sz w:val="22"/>
          <w:lang w:val="pl-PL"/>
        </w:rPr>
        <w:t xml:space="preserve"> </w:t>
      </w:r>
      <w:r w:rsidR="000F69EA" w:rsidRPr="004E62AC" w:rsidDel="000F69EA">
        <w:rPr>
          <w:rFonts w:eastAsia="Calibri"/>
          <w:sz w:val="22"/>
          <w:lang w:val="pl-PL"/>
        </w:rPr>
        <w:t xml:space="preserve"> </w:t>
      </w:r>
    </w:p>
    <w:p w14:paraId="27B4893F" w14:textId="13687122" w:rsidR="0081709A" w:rsidRDefault="00162734" w:rsidP="00F84B72">
      <w:pPr>
        <w:pStyle w:val="EYBulletedList1"/>
        <w:numPr>
          <w:ilvl w:val="0"/>
          <w:numId w:val="14"/>
        </w:numPr>
        <w:jc w:val="both"/>
        <w:rPr>
          <w:rFonts w:eastAsia="Calibri"/>
          <w:sz w:val="22"/>
          <w:lang w:val="pl-PL"/>
        </w:rPr>
      </w:pPr>
      <w:r>
        <w:rPr>
          <w:rFonts w:eastAsia="Calibri"/>
          <w:sz w:val="22"/>
          <w:lang w:val="pl-PL"/>
        </w:rPr>
        <w:t xml:space="preserve">powierzenie odpowiedzialności w zakresie </w:t>
      </w:r>
      <w:r w:rsidR="00310710">
        <w:rPr>
          <w:rFonts w:eastAsia="Calibri"/>
          <w:sz w:val="22"/>
          <w:lang w:val="pl-PL"/>
        </w:rPr>
        <w:t xml:space="preserve">usług aktualnie nieudzielanych w ramach świadczeń gwarantowanych finansowanych ze środków publicznych, w tym: </w:t>
      </w:r>
      <w:r w:rsidR="00F8072A">
        <w:rPr>
          <w:rFonts w:eastAsia="Calibri"/>
          <w:sz w:val="22"/>
          <w:lang w:val="pl-PL"/>
        </w:rPr>
        <w:t xml:space="preserve">koordynacji opieki nad chorym oraz organizacji i realizacji </w:t>
      </w:r>
      <w:r>
        <w:rPr>
          <w:rFonts w:eastAsia="Calibri"/>
          <w:sz w:val="22"/>
          <w:lang w:val="pl-PL"/>
        </w:rPr>
        <w:t>opieki dietetycznej, opieki psychologicznej</w:t>
      </w:r>
      <w:r w:rsidR="00966040">
        <w:rPr>
          <w:rFonts w:eastAsia="Calibri"/>
          <w:sz w:val="22"/>
          <w:lang w:val="pl-PL"/>
        </w:rPr>
        <w:t>, zabiegów fizjoterapeutycznych</w:t>
      </w:r>
      <w:r>
        <w:rPr>
          <w:rFonts w:eastAsia="Calibri"/>
          <w:sz w:val="22"/>
          <w:lang w:val="pl-PL"/>
        </w:rPr>
        <w:t xml:space="preserve"> i edukacji pacjentów</w:t>
      </w:r>
      <w:r w:rsidR="001857BE">
        <w:rPr>
          <w:rFonts w:eastAsia="Calibri"/>
          <w:sz w:val="22"/>
          <w:lang w:val="pl-PL"/>
        </w:rPr>
        <w:t xml:space="preserve">. </w:t>
      </w:r>
      <w:r w:rsidR="00310710">
        <w:rPr>
          <w:rFonts w:eastAsia="Calibri"/>
          <w:sz w:val="22"/>
          <w:lang w:val="pl-PL"/>
        </w:rPr>
        <w:t>W</w:t>
      </w:r>
      <w:r w:rsidR="001857BE">
        <w:rPr>
          <w:rFonts w:eastAsia="Calibri"/>
          <w:sz w:val="22"/>
          <w:lang w:val="pl-PL"/>
        </w:rPr>
        <w:t>sparcie pacjenta w koordynacji</w:t>
      </w:r>
      <w:r w:rsidR="00310710">
        <w:rPr>
          <w:rFonts w:eastAsia="Calibri"/>
          <w:sz w:val="22"/>
          <w:lang w:val="pl-PL"/>
        </w:rPr>
        <w:t xml:space="preserve"> opieki</w:t>
      </w:r>
      <w:r w:rsidR="001857BE">
        <w:rPr>
          <w:rFonts w:eastAsia="Calibri"/>
          <w:sz w:val="22"/>
          <w:lang w:val="pl-PL"/>
        </w:rPr>
        <w:t xml:space="preserve">, </w:t>
      </w:r>
      <w:r w:rsidR="001857BE" w:rsidRPr="001857BE">
        <w:rPr>
          <w:rFonts w:eastAsia="Calibri"/>
          <w:sz w:val="22"/>
          <w:lang w:val="pl-PL"/>
        </w:rPr>
        <w:t>świadomość choroby, ścisłe zalecenia dietetyczne i utrzymanie odpowiedniej kondycji psychicznej</w:t>
      </w:r>
      <w:r w:rsidR="00572FF4">
        <w:rPr>
          <w:rFonts w:eastAsia="Calibri"/>
          <w:sz w:val="22"/>
          <w:lang w:val="pl-PL"/>
        </w:rPr>
        <w:t xml:space="preserve"> i fizycznej</w:t>
      </w:r>
      <w:r w:rsidR="001857BE" w:rsidRPr="001857BE">
        <w:rPr>
          <w:rFonts w:eastAsia="Calibri"/>
          <w:sz w:val="22"/>
          <w:lang w:val="pl-PL"/>
        </w:rPr>
        <w:t xml:space="preserve"> chorego są </w:t>
      </w:r>
      <w:r w:rsidR="00310710">
        <w:rPr>
          <w:rFonts w:eastAsia="Calibri"/>
          <w:sz w:val="22"/>
          <w:lang w:val="pl-PL"/>
        </w:rPr>
        <w:t xml:space="preserve">zgodne z zaleceniami dotyczącymi opieki i </w:t>
      </w:r>
      <w:r w:rsidR="001857BE" w:rsidRPr="001857BE">
        <w:rPr>
          <w:rFonts w:eastAsia="Calibri"/>
          <w:sz w:val="22"/>
          <w:lang w:val="pl-PL"/>
        </w:rPr>
        <w:t xml:space="preserve">istotne dla utrzymania dobrego stanu zdrowia pacjenta z </w:t>
      </w:r>
      <w:proofErr w:type="spellStart"/>
      <w:r w:rsidR="001857BE" w:rsidRPr="001857BE">
        <w:rPr>
          <w:rFonts w:eastAsia="Calibri"/>
          <w:sz w:val="22"/>
          <w:lang w:val="pl-PL"/>
        </w:rPr>
        <w:t>PChN</w:t>
      </w:r>
      <w:proofErr w:type="spellEnd"/>
      <w:r w:rsidR="00310710" w:rsidRPr="00052D84">
        <w:rPr>
          <w:rStyle w:val="Odwoanieprzypisudolnego"/>
          <w:rFonts w:eastAsia="Calibri"/>
          <w:sz w:val="22"/>
          <w:lang w:val="pl-PL"/>
        </w:rPr>
        <w:footnoteReference w:id="65"/>
      </w:r>
    </w:p>
    <w:p w14:paraId="54020E00" w14:textId="5E120392" w:rsidR="00F8072A" w:rsidRDefault="00F8072A" w:rsidP="00A91B63">
      <w:pPr>
        <w:rPr>
          <w:lang w:val="pl-PL"/>
        </w:rPr>
      </w:pPr>
      <w:r>
        <w:rPr>
          <w:lang w:val="pl-PL"/>
        </w:rPr>
        <w:t>W krótkim horyzonc</w:t>
      </w:r>
      <w:r w:rsidR="0045286E">
        <w:rPr>
          <w:lang w:val="pl-PL"/>
        </w:rPr>
        <w:t>ie nie proponuje się roz</w:t>
      </w:r>
      <w:r>
        <w:rPr>
          <w:lang w:val="pl-PL"/>
        </w:rPr>
        <w:t xml:space="preserve">szerzenia zakresu odpowiedzialności </w:t>
      </w:r>
      <w:r w:rsidR="0081709A">
        <w:rPr>
          <w:lang w:val="pl-PL"/>
        </w:rPr>
        <w:t xml:space="preserve">w jednostce koordynującej </w:t>
      </w:r>
      <w:r w:rsidR="00CC3299">
        <w:rPr>
          <w:lang w:val="pl-PL"/>
        </w:rPr>
        <w:t xml:space="preserve">o </w:t>
      </w:r>
      <w:r>
        <w:rPr>
          <w:lang w:val="pl-PL"/>
        </w:rPr>
        <w:t>opiekę diabetologiczną</w:t>
      </w:r>
      <w:r w:rsidR="00572FF4">
        <w:rPr>
          <w:lang w:val="pl-PL"/>
        </w:rPr>
        <w:t xml:space="preserve"> i </w:t>
      </w:r>
      <w:r>
        <w:rPr>
          <w:lang w:val="pl-PL"/>
        </w:rPr>
        <w:t>kardiologiczną</w:t>
      </w:r>
      <w:r w:rsidR="00572FF4">
        <w:rPr>
          <w:lang w:val="pl-PL"/>
        </w:rPr>
        <w:t xml:space="preserve"> </w:t>
      </w:r>
      <w:r>
        <w:rPr>
          <w:lang w:val="pl-PL"/>
        </w:rPr>
        <w:t xml:space="preserve">oraz innych specjalistów. Powyższe powinno zostać zaplanowane w </w:t>
      </w:r>
      <w:r w:rsidR="0068307B">
        <w:rPr>
          <w:lang w:val="pl-PL"/>
        </w:rPr>
        <w:t xml:space="preserve">dłuższym </w:t>
      </w:r>
      <w:r>
        <w:rPr>
          <w:lang w:val="pl-PL"/>
        </w:rPr>
        <w:t xml:space="preserve">horyzoncie jako docelowy model opieki i z uwzględnieniem innych założeń </w:t>
      </w:r>
      <w:r w:rsidR="00C63F2F">
        <w:rPr>
          <w:lang w:val="pl-PL"/>
        </w:rPr>
        <w:t xml:space="preserve">o modelu </w:t>
      </w:r>
      <w:r>
        <w:rPr>
          <w:lang w:val="pl-PL"/>
        </w:rPr>
        <w:t>(np.</w:t>
      </w:r>
      <w:r w:rsidR="0081709A">
        <w:rPr>
          <w:lang w:val="pl-PL"/>
        </w:rPr>
        <w:t> </w:t>
      </w:r>
      <w:r>
        <w:rPr>
          <w:lang w:val="pl-PL"/>
        </w:rPr>
        <w:t>o</w:t>
      </w:r>
      <w:r w:rsidR="0081709A">
        <w:rPr>
          <w:lang w:val="pl-PL"/>
        </w:rPr>
        <w:t> </w:t>
      </w:r>
      <w:r>
        <w:rPr>
          <w:lang w:val="pl-PL"/>
        </w:rPr>
        <w:t xml:space="preserve">potrzebie dostępu do większych zasobów kadrowych i finansowych do </w:t>
      </w:r>
      <w:r w:rsidR="0068307B">
        <w:rPr>
          <w:lang w:val="pl-PL"/>
        </w:rPr>
        <w:t xml:space="preserve">jego </w:t>
      </w:r>
      <w:r>
        <w:rPr>
          <w:lang w:val="pl-PL"/>
        </w:rPr>
        <w:t>realizacji).</w:t>
      </w:r>
      <w:r w:rsidR="0045286E">
        <w:rPr>
          <w:lang w:val="pl-PL"/>
        </w:rPr>
        <w:t xml:space="preserve"> </w:t>
      </w:r>
    </w:p>
    <w:p w14:paraId="6DE00737" w14:textId="21C40D33" w:rsidR="004B0312" w:rsidRDefault="00621895" w:rsidP="00621895">
      <w:pPr>
        <w:rPr>
          <w:b/>
          <w:iCs/>
          <w:sz w:val="18"/>
          <w:szCs w:val="18"/>
          <w:lang w:val="pl-PL"/>
        </w:rPr>
      </w:pPr>
      <w:r>
        <w:rPr>
          <w:lang w:val="pl-PL"/>
        </w:rPr>
        <w:t xml:space="preserve">Proponowany model dla krótkiego horyzontu czasowego, uwzględniający scalenie i uzupełnienie </w:t>
      </w:r>
      <w:r>
        <w:rPr>
          <w:lang w:val="pl-PL"/>
        </w:rPr>
        <w:lastRenderedPageBreak/>
        <w:t>zakresu odpowiedzialności</w:t>
      </w:r>
      <w:r w:rsidR="0081709A">
        <w:rPr>
          <w:lang w:val="pl-PL"/>
        </w:rPr>
        <w:t xml:space="preserve"> w jednostce koordynującej, </w:t>
      </w:r>
      <w:r>
        <w:rPr>
          <w:lang w:val="pl-PL"/>
        </w:rPr>
        <w:t xml:space="preserve">przedstawiono na rysunku </w:t>
      </w:r>
      <w:r w:rsidR="001E35A3">
        <w:rPr>
          <w:lang w:val="pl-PL"/>
        </w:rPr>
        <w:t>5</w:t>
      </w:r>
      <w:r>
        <w:rPr>
          <w:lang w:val="pl-PL"/>
        </w:rPr>
        <w:t>.</w:t>
      </w:r>
    </w:p>
    <w:p w14:paraId="4681B46D" w14:textId="6F240A30" w:rsidR="002C6E02" w:rsidRDefault="002C6E02" w:rsidP="002C6E02">
      <w:pPr>
        <w:pStyle w:val="Legenda"/>
        <w:keepNext/>
        <w:jc w:val="left"/>
        <w:rPr>
          <w:b/>
          <w:i w:val="0"/>
          <w:color w:val="auto"/>
          <w:lang w:val="pl-PL"/>
        </w:rPr>
      </w:pPr>
      <w:bookmarkStart w:id="102" w:name="_Toc486537961"/>
      <w:r w:rsidRPr="002C6E02">
        <w:rPr>
          <w:b/>
          <w:i w:val="0"/>
          <w:color w:val="auto"/>
          <w:lang w:val="pl-PL"/>
        </w:rPr>
        <w:t xml:space="preserve">Rysunek </w:t>
      </w:r>
      <w:r w:rsidRPr="002C6E02">
        <w:rPr>
          <w:b/>
          <w:i w:val="0"/>
          <w:color w:val="auto"/>
          <w:lang w:val="pl-PL"/>
        </w:rPr>
        <w:fldChar w:fldCharType="begin"/>
      </w:r>
      <w:r w:rsidRPr="002C6E02">
        <w:rPr>
          <w:b/>
          <w:i w:val="0"/>
          <w:color w:val="auto"/>
          <w:lang w:val="pl-PL"/>
        </w:rPr>
        <w:instrText xml:space="preserve"> SEQ Rysunek \* ARABIC </w:instrText>
      </w:r>
      <w:r w:rsidRPr="002C6E02">
        <w:rPr>
          <w:b/>
          <w:i w:val="0"/>
          <w:color w:val="auto"/>
          <w:lang w:val="pl-PL"/>
        </w:rPr>
        <w:fldChar w:fldCharType="separate"/>
      </w:r>
      <w:r w:rsidR="005C7285">
        <w:rPr>
          <w:b/>
          <w:i w:val="0"/>
          <w:noProof/>
          <w:color w:val="auto"/>
          <w:lang w:val="pl-PL"/>
        </w:rPr>
        <w:t>5</w:t>
      </w:r>
      <w:r w:rsidRPr="002C6E02">
        <w:rPr>
          <w:b/>
          <w:i w:val="0"/>
          <w:color w:val="auto"/>
          <w:lang w:val="pl-PL"/>
        </w:rPr>
        <w:fldChar w:fldCharType="end"/>
      </w:r>
      <w:r>
        <w:rPr>
          <w:b/>
          <w:i w:val="0"/>
          <w:color w:val="auto"/>
          <w:lang w:val="pl-PL"/>
        </w:rPr>
        <w:t xml:space="preserve"> Zakres odpowiedzialności w proponowanym modelu</w:t>
      </w:r>
      <w:r w:rsidRPr="002F237E">
        <w:rPr>
          <w:b/>
          <w:i w:val="0"/>
          <w:color w:val="auto"/>
          <w:lang w:val="pl-PL"/>
        </w:rPr>
        <w:t xml:space="preserve"> opieki </w:t>
      </w:r>
      <w:r w:rsidR="000463B6">
        <w:rPr>
          <w:b/>
          <w:i w:val="0"/>
          <w:color w:val="auto"/>
          <w:lang w:val="pl-PL"/>
        </w:rPr>
        <w:t>koo</w:t>
      </w:r>
      <w:r w:rsidR="0069074F">
        <w:rPr>
          <w:b/>
          <w:i w:val="0"/>
          <w:color w:val="auto"/>
          <w:lang w:val="pl-PL"/>
        </w:rPr>
        <w:t xml:space="preserve">rdynowanej </w:t>
      </w:r>
      <w:r w:rsidRPr="002F237E">
        <w:rPr>
          <w:b/>
          <w:i w:val="0"/>
          <w:color w:val="auto"/>
          <w:lang w:val="pl-PL"/>
        </w:rPr>
        <w:t xml:space="preserve">nad pacjentem </w:t>
      </w:r>
      <w:r w:rsidR="0011331F">
        <w:rPr>
          <w:b/>
          <w:i w:val="0"/>
          <w:color w:val="auto"/>
          <w:lang w:val="pl-PL"/>
        </w:rPr>
        <w:t xml:space="preserve">w zaawansowanym stadium </w:t>
      </w:r>
      <w:proofErr w:type="spellStart"/>
      <w:r w:rsidR="0011331F">
        <w:rPr>
          <w:b/>
          <w:i w:val="0"/>
          <w:color w:val="auto"/>
          <w:lang w:val="pl-PL"/>
        </w:rPr>
        <w:t>PChN</w:t>
      </w:r>
      <w:bookmarkEnd w:id="102"/>
      <w:proofErr w:type="spellEnd"/>
      <w:r w:rsidR="0011331F">
        <w:rPr>
          <w:b/>
          <w:i w:val="0"/>
          <w:color w:val="auto"/>
          <w:lang w:val="pl-PL"/>
        </w:rPr>
        <w:t xml:space="preserve"> </w:t>
      </w:r>
    </w:p>
    <w:p w14:paraId="78F3A5B7" w14:textId="741FF22B" w:rsidR="0081709A" w:rsidRDefault="00036223" w:rsidP="0081709A">
      <w:pPr>
        <w:rPr>
          <w:lang w:val="pl-PL"/>
        </w:rPr>
      </w:pPr>
      <w:r>
        <w:rPr>
          <w:noProof/>
          <w:lang w:val="pl-PL" w:eastAsia="pl-PL"/>
        </w:rPr>
        <w:drawing>
          <wp:inline distT="0" distB="0" distL="0" distR="0" wp14:anchorId="4C15DB14" wp14:editId="242D4A53">
            <wp:extent cx="5733415" cy="44011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tris.PNG"/>
                    <pic:cNvPicPr/>
                  </pic:nvPicPr>
                  <pic:blipFill>
                    <a:blip r:embed="rId17">
                      <a:extLst>
                        <a:ext uri="{28A0092B-C50C-407E-A947-70E740481C1C}">
                          <a14:useLocalDpi xmlns:a14="http://schemas.microsoft.com/office/drawing/2010/main" val="0"/>
                        </a:ext>
                      </a:extLst>
                    </a:blip>
                    <a:stretch>
                      <a:fillRect/>
                    </a:stretch>
                  </pic:blipFill>
                  <pic:spPr>
                    <a:xfrm>
                      <a:off x="0" y="0"/>
                      <a:ext cx="5733415" cy="4401185"/>
                    </a:xfrm>
                    <a:prstGeom prst="rect">
                      <a:avLst/>
                    </a:prstGeom>
                  </pic:spPr>
                </pic:pic>
              </a:graphicData>
            </a:graphic>
          </wp:inline>
        </w:drawing>
      </w:r>
    </w:p>
    <w:p w14:paraId="362961CE" w14:textId="77777777" w:rsidR="0045286E" w:rsidRPr="00725B58" w:rsidRDefault="0045286E" w:rsidP="0045286E">
      <w:pPr>
        <w:spacing w:before="0" w:after="0" w:line="240" w:lineRule="auto"/>
        <w:rPr>
          <w:rFonts w:eastAsia="Calibri"/>
          <w:sz w:val="18"/>
          <w:lang w:val="pl-PL"/>
        </w:rPr>
      </w:pPr>
      <w:r w:rsidRPr="007F20C3">
        <w:rPr>
          <w:rFonts w:eastAsia="Calibri"/>
          <w:sz w:val="18"/>
          <w:lang w:val="pl-PL"/>
        </w:rPr>
        <w:t>Źródło: Opracowanie własne EY</w:t>
      </w:r>
    </w:p>
    <w:p w14:paraId="6C99ED48" w14:textId="77777777" w:rsidR="00477F06" w:rsidRDefault="00477F06">
      <w:pPr>
        <w:widowControl/>
        <w:autoSpaceDE/>
        <w:autoSpaceDN/>
        <w:adjustRightInd/>
        <w:spacing w:before="0" w:after="0" w:line="240" w:lineRule="auto"/>
        <w:jc w:val="left"/>
        <w:rPr>
          <w:lang w:val="pl-PL"/>
        </w:rPr>
      </w:pPr>
    </w:p>
    <w:p w14:paraId="6830CE00" w14:textId="77777777" w:rsidR="00892881" w:rsidRDefault="00892881" w:rsidP="004E62AC">
      <w:pPr>
        <w:pStyle w:val="EYHeading4"/>
        <w:rPr>
          <w:lang w:val="pl-PL"/>
        </w:rPr>
      </w:pPr>
      <w:bookmarkStart w:id="103" w:name="_Toc486537933"/>
      <w:r>
        <w:rPr>
          <w:lang w:val="pl-PL"/>
        </w:rPr>
        <w:t>Porady nefrologiczne i dializoterapia</w:t>
      </w:r>
      <w:bookmarkEnd w:id="103"/>
    </w:p>
    <w:p w14:paraId="335BD71A" w14:textId="3CBE5488" w:rsidR="00911438" w:rsidRDefault="00892881" w:rsidP="004E62AC">
      <w:pPr>
        <w:rPr>
          <w:rFonts w:eastAsia="Calibri"/>
          <w:lang w:val="pl-PL"/>
        </w:rPr>
      </w:pPr>
      <w:r>
        <w:rPr>
          <w:rFonts w:eastAsia="Calibri"/>
          <w:lang w:val="pl-PL"/>
        </w:rPr>
        <w:t xml:space="preserve">Proponowany model opieki zakłada </w:t>
      </w:r>
      <w:r w:rsidRPr="004E62AC">
        <w:rPr>
          <w:rFonts w:eastAsia="Calibri"/>
          <w:lang w:val="pl-PL"/>
        </w:rPr>
        <w:t>scalenie w jednostce koordynującej dotychczasowych odpowiedzialności będących w kompetencji stacji d</w:t>
      </w:r>
      <w:r w:rsidRPr="00F41F3B">
        <w:rPr>
          <w:rFonts w:eastAsia="Calibri"/>
          <w:lang w:val="pl-PL"/>
        </w:rPr>
        <w:t>ializ i poradni nefrologicznych</w:t>
      </w:r>
      <w:r w:rsidR="00591641">
        <w:rPr>
          <w:rFonts w:eastAsia="Calibri"/>
          <w:lang w:val="pl-PL"/>
        </w:rPr>
        <w:t xml:space="preserve"> w obszarze opieki pacjentów w zaawansowanym stadium </w:t>
      </w:r>
      <w:proofErr w:type="spellStart"/>
      <w:r w:rsidR="00591641">
        <w:rPr>
          <w:rFonts w:eastAsia="Calibri"/>
          <w:lang w:val="pl-PL"/>
        </w:rPr>
        <w:t>PChN</w:t>
      </w:r>
      <w:proofErr w:type="spellEnd"/>
      <w:r>
        <w:rPr>
          <w:rFonts w:eastAsia="Calibri"/>
          <w:lang w:val="pl-PL"/>
        </w:rPr>
        <w:t xml:space="preserve">. Oznacza to, że w tym obszarze </w:t>
      </w:r>
      <w:r w:rsidR="00911438">
        <w:rPr>
          <w:rFonts w:eastAsia="Calibri"/>
          <w:lang w:val="pl-PL"/>
        </w:rPr>
        <w:t xml:space="preserve">proponowany </w:t>
      </w:r>
      <w:r>
        <w:rPr>
          <w:rFonts w:eastAsia="Calibri"/>
          <w:lang w:val="pl-PL"/>
        </w:rPr>
        <w:t>model nie modyfikuje zakresu świadczonych usług. To</w:t>
      </w:r>
      <w:r w:rsidR="00443470">
        <w:rPr>
          <w:rFonts w:eastAsia="Calibri"/>
          <w:lang w:val="pl-PL"/>
        </w:rPr>
        <w:t>,</w:t>
      </w:r>
      <w:r>
        <w:rPr>
          <w:rFonts w:eastAsia="Calibri"/>
          <w:lang w:val="pl-PL"/>
        </w:rPr>
        <w:t xml:space="preserve"> co aktualnie wchodzi w zakres hemodializy czy dializy otrzewnowej, powinno być </w:t>
      </w:r>
      <w:r w:rsidR="00CC3299">
        <w:rPr>
          <w:rFonts w:eastAsia="Calibri"/>
          <w:lang w:val="pl-PL"/>
        </w:rPr>
        <w:t xml:space="preserve">w dalszym ciągu realizowane </w:t>
      </w:r>
      <w:r>
        <w:rPr>
          <w:rFonts w:eastAsia="Calibri"/>
          <w:lang w:val="pl-PL"/>
        </w:rPr>
        <w:t xml:space="preserve">w modelu docelowym. Podobnie zakres </w:t>
      </w:r>
      <w:r w:rsidRPr="001E35A3">
        <w:rPr>
          <w:rFonts w:eastAsia="Calibri"/>
          <w:lang w:val="pl-PL"/>
        </w:rPr>
        <w:t>odpowiedzialności poradni nefrologicznych</w:t>
      </w:r>
      <w:r w:rsidR="00E63442" w:rsidRPr="001E35A3">
        <w:rPr>
          <w:rFonts w:eastAsia="Calibri"/>
          <w:lang w:val="pl-PL"/>
        </w:rPr>
        <w:t xml:space="preserve"> </w:t>
      </w:r>
      <w:r w:rsidR="00D433D8" w:rsidRPr="001E35A3">
        <w:rPr>
          <w:rFonts w:eastAsia="Calibri"/>
          <w:lang w:val="pl-PL"/>
        </w:rPr>
        <w:t xml:space="preserve">powinien </w:t>
      </w:r>
      <w:r w:rsidR="00E63442" w:rsidRPr="001E35A3">
        <w:rPr>
          <w:rFonts w:eastAsia="Calibri"/>
          <w:lang w:val="pl-PL"/>
        </w:rPr>
        <w:t xml:space="preserve">pozostać spójny </w:t>
      </w:r>
      <w:r w:rsidR="00D433D8" w:rsidRPr="001E35A3">
        <w:rPr>
          <w:rFonts w:eastAsia="Calibri"/>
          <w:lang w:val="pl-PL"/>
        </w:rPr>
        <w:t>z aktualnym zakresem</w:t>
      </w:r>
      <w:r w:rsidR="00D433D8">
        <w:rPr>
          <w:rFonts w:eastAsia="Calibri"/>
          <w:lang w:val="pl-PL"/>
        </w:rPr>
        <w:t xml:space="preserve"> działalności</w:t>
      </w:r>
      <w:r w:rsidR="00B159FD">
        <w:rPr>
          <w:rFonts w:eastAsia="Calibri"/>
          <w:lang w:val="pl-PL"/>
        </w:rPr>
        <w:t xml:space="preserve"> w obszarze opieki nad pacjentami w zaawansowanym stadium </w:t>
      </w:r>
      <w:proofErr w:type="spellStart"/>
      <w:r w:rsidR="00B159FD">
        <w:rPr>
          <w:rFonts w:eastAsia="Calibri"/>
          <w:lang w:val="pl-PL"/>
        </w:rPr>
        <w:t>PChN</w:t>
      </w:r>
      <w:proofErr w:type="spellEnd"/>
      <w:r w:rsidR="00E63442">
        <w:rPr>
          <w:rFonts w:eastAsia="Calibri"/>
          <w:lang w:val="pl-PL"/>
        </w:rPr>
        <w:t xml:space="preserve">. </w:t>
      </w:r>
      <w:r w:rsidR="00911438">
        <w:rPr>
          <w:rFonts w:eastAsia="Calibri"/>
          <w:lang w:val="pl-PL"/>
        </w:rPr>
        <w:t xml:space="preserve">Należy jednak podkreślić, że kluczowe jest pozostawienie </w:t>
      </w:r>
      <w:r w:rsidR="000463B6">
        <w:rPr>
          <w:rFonts w:eastAsia="Calibri"/>
          <w:lang w:val="pl-PL"/>
        </w:rPr>
        <w:t>decyzji dotyczącej</w:t>
      </w:r>
      <w:r w:rsidR="00911438">
        <w:rPr>
          <w:rFonts w:eastAsia="Calibri"/>
          <w:lang w:val="pl-PL"/>
        </w:rPr>
        <w:t xml:space="preserve"> wyboru terapii jednostce koordynującej. </w:t>
      </w:r>
      <w:r w:rsidR="00D433D8">
        <w:rPr>
          <w:rFonts w:eastAsia="Calibri"/>
          <w:lang w:val="pl-PL"/>
        </w:rPr>
        <w:t xml:space="preserve">Pozwoli to na wybór optymalnej metody leczenia z punktu widzenia wyników zdrowotnych pacjenta i jednocześnie ograniczy zależność wyboru od wysokości i </w:t>
      </w:r>
      <w:r w:rsidR="000463B6">
        <w:rPr>
          <w:rFonts w:eastAsia="Calibri"/>
          <w:lang w:val="pl-PL"/>
        </w:rPr>
        <w:t>zakresu</w:t>
      </w:r>
      <w:r w:rsidR="00D433D8">
        <w:rPr>
          <w:rFonts w:eastAsia="Calibri"/>
          <w:lang w:val="pl-PL"/>
        </w:rPr>
        <w:t xml:space="preserve"> kontraktu z NFZ</w:t>
      </w:r>
      <w:r w:rsidR="005B05A0">
        <w:rPr>
          <w:lang w:val="pl-PL"/>
        </w:rPr>
        <w:t>.</w:t>
      </w:r>
    </w:p>
    <w:p w14:paraId="6557D902" w14:textId="77777777" w:rsidR="00D7580F" w:rsidRPr="004E62AC" w:rsidRDefault="00D7580F" w:rsidP="004E62AC">
      <w:pPr>
        <w:pStyle w:val="EYHeading4"/>
        <w:rPr>
          <w:lang w:val="pl-PL"/>
        </w:rPr>
      </w:pPr>
      <w:bookmarkStart w:id="104" w:name="_Toc486537934"/>
      <w:r w:rsidRPr="004E62AC">
        <w:rPr>
          <w:lang w:val="pl-PL"/>
        </w:rPr>
        <w:t>Opieka w zakresie dostępów naczyniowych</w:t>
      </w:r>
      <w:bookmarkEnd w:id="104"/>
      <w:r w:rsidRPr="004E62AC">
        <w:rPr>
          <w:lang w:val="pl-PL"/>
        </w:rPr>
        <w:t xml:space="preserve"> </w:t>
      </w:r>
    </w:p>
    <w:p w14:paraId="762D1663" w14:textId="748F65A6" w:rsidR="00CA5C68" w:rsidRDefault="00CA5C68">
      <w:pPr>
        <w:pStyle w:val="EYBulletedList1"/>
        <w:numPr>
          <w:ilvl w:val="0"/>
          <w:numId w:val="0"/>
        </w:numPr>
        <w:jc w:val="both"/>
        <w:rPr>
          <w:rFonts w:eastAsia="Calibri"/>
          <w:sz w:val="22"/>
          <w:lang w:val="pl-PL"/>
        </w:rPr>
      </w:pPr>
      <w:r>
        <w:rPr>
          <w:rFonts w:eastAsia="Calibri"/>
          <w:sz w:val="22"/>
          <w:lang w:val="pl-PL"/>
        </w:rPr>
        <w:t>Jednym z kluczowych warunków realizacji</w:t>
      </w:r>
      <w:r w:rsidR="00CC3299">
        <w:rPr>
          <w:rFonts w:eastAsia="Calibri"/>
          <w:sz w:val="22"/>
          <w:lang w:val="pl-PL"/>
        </w:rPr>
        <w:t xml:space="preserve"> </w:t>
      </w:r>
      <w:r w:rsidR="00D433D8">
        <w:rPr>
          <w:rFonts w:eastAsia="Calibri"/>
          <w:sz w:val="22"/>
          <w:lang w:val="pl-PL"/>
        </w:rPr>
        <w:t xml:space="preserve">wysokiej jakości </w:t>
      </w:r>
      <w:r w:rsidR="00CC3299">
        <w:rPr>
          <w:rFonts w:eastAsia="Calibri"/>
          <w:sz w:val="22"/>
          <w:lang w:val="pl-PL"/>
        </w:rPr>
        <w:t>hemo</w:t>
      </w:r>
      <w:r w:rsidRPr="00CA5C68">
        <w:rPr>
          <w:rFonts w:eastAsia="Calibri"/>
          <w:sz w:val="22"/>
          <w:lang w:val="pl-PL"/>
        </w:rPr>
        <w:t xml:space="preserve">dializy jest uzyskanie </w:t>
      </w:r>
      <w:r w:rsidR="00B22BAB">
        <w:rPr>
          <w:rFonts w:eastAsia="Calibri"/>
          <w:sz w:val="22"/>
          <w:lang w:val="pl-PL"/>
        </w:rPr>
        <w:t xml:space="preserve">odpowiedniego </w:t>
      </w:r>
      <w:r w:rsidRPr="00CA5C68">
        <w:rPr>
          <w:rFonts w:eastAsia="Calibri"/>
          <w:sz w:val="22"/>
          <w:lang w:val="pl-PL"/>
        </w:rPr>
        <w:t>przepływu</w:t>
      </w:r>
      <w:r>
        <w:rPr>
          <w:rFonts w:eastAsia="Calibri"/>
          <w:sz w:val="22"/>
          <w:lang w:val="pl-PL"/>
        </w:rPr>
        <w:t xml:space="preserve"> </w:t>
      </w:r>
      <w:r w:rsidRPr="00CA5C68">
        <w:rPr>
          <w:rFonts w:eastAsia="Calibri"/>
          <w:sz w:val="22"/>
          <w:lang w:val="pl-PL"/>
        </w:rPr>
        <w:t xml:space="preserve">krwi przez dializator. </w:t>
      </w:r>
      <w:r>
        <w:rPr>
          <w:rFonts w:eastAsia="Calibri"/>
          <w:sz w:val="22"/>
          <w:lang w:val="pl-PL"/>
        </w:rPr>
        <w:t>Z tego względu</w:t>
      </w:r>
      <w:r w:rsidRPr="00CA5C68">
        <w:rPr>
          <w:rFonts w:eastAsia="Calibri"/>
          <w:sz w:val="22"/>
          <w:lang w:val="pl-PL"/>
        </w:rPr>
        <w:t xml:space="preserve"> konieczny</w:t>
      </w:r>
      <w:r>
        <w:rPr>
          <w:rFonts w:eastAsia="Calibri"/>
          <w:sz w:val="22"/>
          <w:lang w:val="pl-PL"/>
        </w:rPr>
        <w:t xml:space="preserve"> jest </w:t>
      </w:r>
      <w:r w:rsidRPr="00CA5C68">
        <w:rPr>
          <w:rFonts w:eastAsia="Calibri"/>
          <w:sz w:val="22"/>
          <w:lang w:val="pl-PL"/>
        </w:rPr>
        <w:t xml:space="preserve">swobodny dostęp do układu </w:t>
      </w:r>
      <w:r w:rsidR="00B22BAB">
        <w:rPr>
          <w:rFonts w:eastAsia="Calibri"/>
          <w:sz w:val="22"/>
          <w:lang w:val="pl-PL"/>
        </w:rPr>
        <w:t xml:space="preserve">krążenia </w:t>
      </w:r>
      <w:r w:rsidRPr="00CA5C68">
        <w:rPr>
          <w:rFonts w:eastAsia="Calibri"/>
          <w:sz w:val="22"/>
          <w:lang w:val="pl-PL"/>
        </w:rPr>
        <w:lastRenderedPageBreak/>
        <w:t>chorego</w:t>
      </w:r>
      <w:r w:rsidR="00E63442" w:rsidRPr="00500008">
        <w:rPr>
          <w:rStyle w:val="Odwoanieprzypisudolnego"/>
          <w:rFonts w:eastAsia="Calibri"/>
          <w:sz w:val="22"/>
          <w:lang w:val="pl-PL"/>
        </w:rPr>
        <w:footnoteReference w:id="66"/>
      </w:r>
      <w:r>
        <w:rPr>
          <w:rFonts w:eastAsia="Calibri"/>
          <w:sz w:val="22"/>
          <w:lang w:val="pl-PL"/>
        </w:rPr>
        <w:t>.</w:t>
      </w:r>
      <w:r w:rsidR="003B770F">
        <w:rPr>
          <w:rFonts w:eastAsia="Calibri"/>
          <w:sz w:val="22"/>
          <w:lang w:val="pl-PL"/>
        </w:rPr>
        <w:t xml:space="preserve"> Jakość dostępu naczyniowego ma bezpośredni wpływ na jakość dializ, a co za tym idzie </w:t>
      </w:r>
      <w:r w:rsidR="00D433D8">
        <w:rPr>
          <w:rFonts w:eastAsia="Calibri"/>
          <w:sz w:val="22"/>
          <w:lang w:val="pl-PL"/>
        </w:rPr>
        <w:t xml:space="preserve">– </w:t>
      </w:r>
      <w:r w:rsidR="003B770F">
        <w:rPr>
          <w:rFonts w:eastAsia="Calibri"/>
          <w:sz w:val="22"/>
          <w:lang w:val="pl-PL"/>
        </w:rPr>
        <w:t xml:space="preserve">na jakość życia pacjentów. </w:t>
      </w:r>
    </w:p>
    <w:p w14:paraId="3AC0CD0D" w14:textId="77777777" w:rsidR="003B770F" w:rsidRDefault="003B770F">
      <w:pPr>
        <w:pStyle w:val="EYBulletedList1"/>
        <w:numPr>
          <w:ilvl w:val="0"/>
          <w:numId w:val="0"/>
        </w:numPr>
        <w:jc w:val="both"/>
        <w:rPr>
          <w:rFonts w:eastAsia="Calibri"/>
          <w:sz w:val="22"/>
          <w:lang w:val="pl-PL"/>
        </w:rPr>
      </w:pPr>
      <w:r>
        <w:rPr>
          <w:rFonts w:eastAsia="Calibri"/>
          <w:sz w:val="22"/>
          <w:lang w:val="pl-PL"/>
        </w:rPr>
        <w:t>Przekazanie odpowiedzialności za prowadzenie leczenia wiąże się z umocowaniem</w:t>
      </w:r>
      <w:r w:rsidR="005C2F74" w:rsidRPr="005C2F74">
        <w:rPr>
          <w:rFonts w:eastAsia="Calibri"/>
          <w:sz w:val="22"/>
          <w:lang w:val="pl-PL"/>
        </w:rPr>
        <w:t xml:space="preserve"> </w:t>
      </w:r>
      <w:r w:rsidR="005C2F74">
        <w:rPr>
          <w:rFonts w:eastAsia="Calibri"/>
          <w:sz w:val="22"/>
          <w:lang w:val="pl-PL"/>
        </w:rPr>
        <w:t xml:space="preserve">jednostek koordynujących </w:t>
      </w:r>
      <w:r>
        <w:rPr>
          <w:rFonts w:eastAsia="Calibri"/>
          <w:sz w:val="22"/>
          <w:lang w:val="pl-PL"/>
        </w:rPr>
        <w:t>do podejmowania decyzji w zakresie czasu</w:t>
      </w:r>
      <w:r w:rsidR="005C2F74">
        <w:rPr>
          <w:rFonts w:eastAsia="Calibri"/>
          <w:sz w:val="22"/>
          <w:lang w:val="pl-PL"/>
        </w:rPr>
        <w:t xml:space="preserve"> (momentu)</w:t>
      </w:r>
      <w:r>
        <w:rPr>
          <w:rFonts w:eastAsia="Calibri"/>
          <w:sz w:val="22"/>
          <w:lang w:val="pl-PL"/>
        </w:rPr>
        <w:t xml:space="preserve"> wytworzenia dostępu naczyniowego</w:t>
      </w:r>
      <w:r w:rsidR="00CC3299">
        <w:rPr>
          <w:rFonts w:eastAsia="Calibri"/>
          <w:sz w:val="22"/>
          <w:lang w:val="pl-PL"/>
        </w:rPr>
        <w:t xml:space="preserve"> oraz miejsca wykonania świadczenia</w:t>
      </w:r>
      <w:r>
        <w:rPr>
          <w:rFonts w:eastAsia="Calibri"/>
          <w:sz w:val="22"/>
          <w:lang w:val="pl-PL"/>
        </w:rPr>
        <w:t xml:space="preserve">. Jednostka koordynująca powinna skierować pacjenta na wytworzenie dostępu </w:t>
      </w:r>
      <w:r w:rsidR="005C2F74">
        <w:rPr>
          <w:rFonts w:eastAsia="Calibri"/>
          <w:sz w:val="22"/>
          <w:lang w:val="pl-PL"/>
        </w:rPr>
        <w:t xml:space="preserve">w najlepszym z perspektywy medycznej czasie </w:t>
      </w:r>
      <w:r>
        <w:rPr>
          <w:rFonts w:eastAsia="Calibri"/>
          <w:sz w:val="22"/>
          <w:lang w:val="pl-PL"/>
        </w:rPr>
        <w:t>i sfinansować wykonanie tego świadczenia. Leczenie nerkozastępcze będzie następnie realizowane w jednostce koordynującej, więc pojawiające się powikłania dostępów i konieczność realizacji świadczeń w zakresie ich utrzymania będą również finansowane przez jednostki koordynujące.</w:t>
      </w:r>
    </w:p>
    <w:p w14:paraId="11873395" w14:textId="089A5EAD" w:rsidR="00D7580F" w:rsidRPr="00E57FF5" w:rsidRDefault="00B6627A" w:rsidP="004E62AC">
      <w:pPr>
        <w:pStyle w:val="EYHeading4"/>
        <w:rPr>
          <w:lang w:val="pl-PL"/>
        </w:rPr>
      </w:pPr>
      <w:bookmarkStart w:id="105" w:name="_Toc486537935"/>
      <w:r>
        <w:rPr>
          <w:lang w:val="pl-PL"/>
        </w:rPr>
        <w:t xml:space="preserve">Przygotowanie do zgłoszenia </w:t>
      </w:r>
      <w:r w:rsidR="00D7580F" w:rsidRPr="00E57FF5">
        <w:rPr>
          <w:lang w:val="pl-PL"/>
        </w:rPr>
        <w:t>do przeszczepienia</w:t>
      </w:r>
      <w:bookmarkEnd w:id="105"/>
    </w:p>
    <w:p w14:paraId="0AD29607" w14:textId="415A2553" w:rsidR="00CE4DC8" w:rsidRPr="00E57FF5" w:rsidRDefault="00CE4DC8" w:rsidP="004E62AC">
      <w:pPr>
        <w:pStyle w:val="EYBulletedList1"/>
        <w:numPr>
          <w:ilvl w:val="0"/>
          <w:numId w:val="0"/>
        </w:numPr>
        <w:jc w:val="both"/>
        <w:rPr>
          <w:rFonts w:eastAsia="Calibri"/>
          <w:sz w:val="22"/>
          <w:lang w:val="pl-PL"/>
        </w:rPr>
      </w:pPr>
      <w:r w:rsidRPr="00E57FF5">
        <w:rPr>
          <w:rFonts w:eastAsia="Calibri"/>
          <w:sz w:val="22"/>
          <w:lang w:val="pl-PL"/>
        </w:rPr>
        <w:t xml:space="preserve">Jak wspomniano w rozdziale 2 transplantacja wydłuża życie pacjenta z </w:t>
      </w:r>
      <w:proofErr w:type="spellStart"/>
      <w:r w:rsidRPr="00E57FF5">
        <w:rPr>
          <w:rFonts w:eastAsia="Calibri"/>
          <w:sz w:val="22"/>
          <w:lang w:val="pl-PL"/>
        </w:rPr>
        <w:t>PChN</w:t>
      </w:r>
      <w:proofErr w:type="spellEnd"/>
      <w:r w:rsidRPr="00E57FF5">
        <w:rPr>
          <w:rFonts w:eastAsia="Calibri"/>
          <w:sz w:val="22"/>
          <w:lang w:val="pl-PL"/>
        </w:rPr>
        <w:t xml:space="preserve">, poprawia jego jakość w większym stopniu niż dializoterapia oraz pozwala na </w:t>
      </w:r>
      <w:r w:rsidR="00B22BAB" w:rsidRPr="00060165">
        <w:rPr>
          <w:rFonts w:eastAsia="Calibri"/>
          <w:sz w:val="22"/>
          <w:lang w:val="pl-PL"/>
        </w:rPr>
        <w:t>przywrócenie pełnej</w:t>
      </w:r>
      <w:r w:rsidRPr="00E57FF5">
        <w:rPr>
          <w:rFonts w:eastAsia="Calibri"/>
          <w:sz w:val="22"/>
          <w:lang w:val="pl-PL"/>
        </w:rPr>
        <w:t xml:space="preserve"> czynności nerek. Z tego względu przeszczepienie </w:t>
      </w:r>
      <w:r w:rsidR="005B1BA9" w:rsidRPr="00E57FF5">
        <w:rPr>
          <w:rFonts w:eastAsia="Calibri"/>
          <w:sz w:val="22"/>
          <w:lang w:val="pl-PL"/>
        </w:rPr>
        <w:t xml:space="preserve">jest </w:t>
      </w:r>
      <w:r w:rsidR="00B22BAB" w:rsidRPr="00060165">
        <w:rPr>
          <w:rFonts w:eastAsia="Calibri"/>
          <w:sz w:val="22"/>
          <w:lang w:val="pl-PL"/>
        </w:rPr>
        <w:t>optymalną metodą</w:t>
      </w:r>
      <w:r w:rsidR="005F13A4" w:rsidRPr="00060165">
        <w:rPr>
          <w:rFonts w:eastAsia="Calibri"/>
          <w:sz w:val="22"/>
          <w:lang w:val="pl-PL"/>
        </w:rPr>
        <w:t xml:space="preserve"> </w:t>
      </w:r>
      <w:r w:rsidRPr="00E57FF5">
        <w:rPr>
          <w:rFonts w:eastAsia="Calibri"/>
          <w:sz w:val="22"/>
          <w:lang w:val="pl-PL"/>
        </w:rPr>
        <w:t>leczeni</w:t>
      </w:r>
      <w:r w:rsidR="00B22BAB" w:rsidRPr="00060165">
        <w:rPr>
          <w:rFonts w:eastAsia="Calibri"/>
          <w:sz w:val="22"/>
          <w:lang w:val="pl-PL"/>
        </w:rPr>
        <w:t>a</w:t>
      </w:r>
      <w:r w:rsidRPr="00E57FF5">
        <w:rPr>
          <w:rFonts w:eastAsia="Calibri"/>
          <w:sz w:val="22"/>
          <w:lang w:val="pl-PL"/>
        </w:rPr>
        <w:t xml:space="preserve"> nerkozastępcz</w:t>
      </w:r>
      <w:r w:rsidR="00B22BAB" w:rsidRPr="00060165">
        <w:rPr>
          <w:rFonts w:eastAsia="Calibri"/>
          <w:sz w:val="22"/>
          <w:lang w:val="pl-PL"/>
        </w:rPr>
        <w:t>ego</w:t>
      </w:r>
      <w:r w:rsidRPr="00E57FF5">
        <w:rPr>
          <w:rFonts w:eastAsia="Calibri"/>
          <w:sz w:val="22"/>
          <w:lang w:val="pl-PL"/>
        </w:rPr>
        <w:t>.</w:t>
      </w:r>
    </w:p>
    <w:p w14:paraId="4BD2352D" w14:textId="42CC67A9" w:rsidR="00E63442" w:rsidRPr="00E57FF5" w:rsidRDefault="00121E30" w:rsidP="004E62AC">
      <w:pPr>
        <w:pStyle w:val="EYBulletedList1"/>
        <w:numPr>
          <w:ilvl w:val="0"/>
          <w:numId w:val="0"/>
        </w:numPr>
        <w:jc w:val="both"/>
        <w:rPr>
          <w:rFonts w:eastAsia="Calibri"/>
          <w:sz w:val="22"/>
          <w:lang w:val="pl-PL"/>
        </w:rPr>
      </w:pPr>
      <w:r w:rsidRPr="00E57FF5">
        <w:rPr>
          <w:rFonts w:eastAsia="Calibri"/>
          <w:sz w:val="22"/>
          <w:lang w:val="pl-PL"/>
        </w:rPr>
        <w:t xml:space="preserve">Założeniem proponowanego modelu opieki jest </w:t>
      </w:r>
      <w:r w:rsidR="00CC3299" w:rsidRPr="00E57FF5">
        <w:rPr>
          <w:rFonts w:eastAsia="Calibri"/>
          <w:sz w:val="22"/>
          <w:lang w:val="pl-PL"/>
        </w:rPr>
        <w:t xml:space="preserve">przekazanie </w:t>
      </w:r>
      <w:r w:rsidR="005B1BA9" w:rsidRPr="00E57FF5">
        <w:rPr>
          <w:rFonts w:eastAsia="Calibri"/>
          <w:sz w:val="22"/>
          <w:lang w:val="pl-PL"/>
        </w:rPr>
        <w:t xml:space="preserve">odpowiedzialności </w:t>
      </w:r>
      <w:r w:rsidR="000F7233" w:rsidRPr="00E57FF5">
        <w:rPr>
          <w:rFonts w:eastAsia="Calibri"/>
          <w:sz w:val="22"/>
          <w:lang w:val="pl-PL"/>
        </w:rPr>
        <w:t xml:space="preserve">za </w:t>
      </w:r>
      <w:r w:rsidR="00B6627A">
        <w:rPr>
          <w:rFonts w:eastAsia="Calibri"/>
          <w:sz w:val="22"/>
          <w:lang w:val="pl-PL"/>
        </w:rPr>
        <w:t>przygotowanie</w:t>
      </w:r>
      <w:r w:rsidR="00B6627A" w:rsidRPr="00E57FF5">
        <w:rPr>
          <w:rFonts w:eastAsia="Calibri"/>
          <w:sz w:val="22"/>
          <w:lang w:val="pl-PL"/>
        </w:rPr>
        <w:t xml:space="preserve"> </w:t>
      </w:r>
      <w:r w:rsidR="000F7233" w:rsidRPr="00E57FF5">
        <w:rPr>
          <w:rFonts w:eastAsia="Calibri"/>
          <w:sz w:val="22"/>
          <w:lang w:val="pl-PL"/>
        </w:rPr>
        <w:t xml:space="preserve">do </w:t>
      </w:r>
      <w:r w:rsidR="00B6627A">
        <w:rPr>
          <w:rFonts w:eastAsia="Calibri"/>
          <w:sz w:val="22"/>
          <w:lang w:val="pl-PL"/>
        </w:rPr>
        <w:t xml:space="preserve">zgłoszenia do </w:t>
      </w:r>
      <w:r w:rsidR="000F7233" w:rsidRPr="00E57FF5">
        <w:rPr>
          <w:rFonts w:eastAsia="Calibri"/>
          <w:sz w:val="22"/>
          <w:lang w:val="pl-PL"/>
        </w:rPr>
        <w:t>przeszczepienia</w:t>
      </w:r>
      <w:r w:rsidR="00CC3299" w:rsidRPr="00E57FF5">
        <w:rPr>
          <w:rFonts w:eastAsia="Calibri"/>
          <w:sz w:val="22"/>
          <w:lang w:val="pl-PL"/>
        </w:rPr>
        <w:t xml:space="preserve"> jednostkom koordynującym</w:t>
      </w:r>
      <w:r w:rsidR="000F7233" w:rsidRPr="00E57FF5">
        <w:rPr>
          <w:rFonts w:eastAsia="Calibri"/>
          <w:sz w:val="22"/>
          <w:lang w:val="pl-PL"/>
        </w:rPr>
        <w:t>. Zapewnienie w jednostce badań na wszystkich etapach oceny możliwości zgłoszenia chorego na listę biorców skr</w:t>
      </w:r>
      <w:r w:rsidR="00591641">
        <w:rPr>
          <w:rFonts w:eastAsia="Calibri"/>
          <w:sz w:val="22"/>
          <w:lang w:val="pl-PL"/>
        </w:rPr>
        <w:t>óci</w:t>
      </w:r>
      <w:r w:rsidR="000F7233" w:rsidRPr="00E57FF5">
        <w:rPr>
          <w:rFonts w:eastAsia="Calibri"/>
          <w:sz w:val="22"/>
          <w:lang w:val="pl-PL"/>
        </w:rPr>
        <w:t xml:space="preserve"> i upr</w:t>
      </w:r>
      <w:r w:rsidR="00591641">
        <w:rPr>
          <w:rFonts w:eastAsia="Calibri"/>
          <w:sz w:val="22"/>
          <w:lang w:val="pl-PL"/>
        </w:rPr>
        <w:t>ości</w:t>
      </w:r>
      <w:r w:rsidR="000F7233" w:rsidRPr="00E57FF5">
        <w:rPr>
          <w:rFonts w:eastAsia="Calibri"/>
          <w:sz w:val="22"/>
          <w:lang w:val="pl-PL"/>
        </w:rPr>
        <w:t xml:space="preserve"> proces kwalifikacji do przeszczepienia</w:t>
      </w:r>
      <w:r w:rsidRPr="00E57FF5">
        <w:rPr>
          <w:rFonts w:eastAsia="Calibri"/>
          <w:sz w:val="22"/>
          <w:lang w:val="pl-PL"/>
        </w:rPr>
        <w:t xml:space="preserve">. Istotne jest właściwe stymulowanie przeprowadzania </w:t>
      </w:r>
      <w:r w:rsidR="00B6627A">
        <w:rPr>
          <w:rFonts w:eastAsia="Calibri"/>
          <w:sz w:val="22"/>
          <w:lang w:val="pl-PL"/>
        </w:rPr>
        <w:t>przygotowania do kwalifikacji</w:t>
      </w:r>
      <w:r w:rsidR="00B6627A" w:rsidRPr="00E57FF5">
        <w:rPr>
          <w:rFonts w:eastAsia="Calibri"/>
          <w:sz w:val="22"/>
          <w:lang w:val="pl-PL"/>
        </w:rPr>
        <w:t xml:space="preserve"> </w:t>
      </w:r>
      <w:r w:rsidRPr="00E57FF5">
        <w:rPr>
          <w:rFonts w:eastAsia="Calibri"/>
          <w:sz w:val="22"/>
          <w:lang w:val="pl-PL"/>
        </w:rPr>
        <w:t>i transparentne monitorowanie efekt</w:t>
      </w:r>
      <w:r w:rsidR="005B1BA9" w:rsidRPr="00E57FF5">
        <w:rPr>
          <w:rFonts w:eastAsia="Calibri"/>
          <w:sz w:val="22"/>
          <w:lang w:val="pl-PL"/>
        </w:rPr>
        <w:t>ów</w:t>
      </w:r>
      <w:r w:rsidRPr="00E57FF5">
        <w:rPr>
          <w:rFonts w:eastAsia="Calibri"/>
          <w:sz w:val="22"/>
          <w:lang w:val="pl-PL"/>
        </w:rPr>
        <w:t xml:space="preserve"> procesu.</w:t>
      </w:r>
    </w:p>
    <w:p w14:paraId="5A4EE6BF" w14:textId="5601C947" w:rsidR="00121E30" w:rsidRPr="004E62AC" w:rsidRDefault="00121E30" w:rsidP="004E62AC">
      <w:pPr>
        <w:pStyle w:val="EYBulletedList1"/>
        <w:numPr>
          <w:ilvl w:val="0"/>
          <w:numId w:val="0"/>
        </w:numPr>
        <w:jc w:val="both"/>
        <w:rPr>
          <w:sz w:val="22"/>
          <w:lang w:val="pl-PL"/>
        </w:rPr>
      </w:pPr>
      <w:r w:rsidRPr="00E57FF5">
        <w:rPr>
          <w:rFonts w:eastAsia="Calibri"/>
          <w:sz w:val="22"/>
          <w:lang w:val="pl-PL"/>
        </w:rPr>
        <w:t xml:space="preserve">Jednostka koordynująca powinna zarządzać procesem </w:t>
      </w:r>
      <w:r w:rsidR="00B6627A">
        <w:rPr>
          <w:rFonts w:eastAsia="Calibri"/>
          <w:sz w:val="22"/>
          <w:lang w:val="pl-PL"/>
        </w:rPr>
        <w:t>przygotowania do zgłoszenia do przeszczepienia</w:t>
      </w:r>
      <w:r w:rsidR="00B6627A" w:rsidRPr="00E57FF5">
        <w:rPr>
          <w:rFonts w:eastAsia="Calibri"/>
          <w:sz w:val="22"/>
          <w:lang w:val="pl-PL"/>
        </w:rPr>
        <w:t xml:space="preserve"> </w:t>
      </w:r>
      <w:r w:rsidR="00500008" w:rsidRPr="00E57FF5">
        <w:rPr>
          <w:rFonts w:eastAsia="Calibri"/>
          <w:sz w:val="22"/>
          <w:lang w:val="pl-PL"/>
        </w:rPr>
        <w:t>oraz</w:t>
      </w:r>
      <w:r w:rsidR="00211891" w:rsidRPr="00E57FF5">
        <w:rPr>
          <w:rFonts w:eastAsia="Calibri"/>
          <w:sz w:val="22"/>
          <w:lang w:val="pl-PL"/>
        </w:rPr>
        <w:t xml:space="preserve"> zarządzać </w:t>
      </w:r>
      <w:r w:rsidR="00500008" w:rsidRPr="00E57FF5">
        <w:rPr>
          <w:rFonts w:eastAsia="Calibri"/>
          <w:sz w:val="22"/>
          <w:lang w:val="pl-PL"/>
        </w:rPr>
        <w:t xml:space="preserve"> </w:t>
      </w:r>
      <w:r w:rsidR="00211891" w:rsidRPr="00E57FF5">
        <w:rPr>
          <w:rFonts w:eastAsia="Calibri"/>
          <w:sz w:val="22"/>
          <w:lang w:val="pl-PL"/>
        </w:rPr>
        <w:t xml:space="preserve">budżetem </w:t>
      </w:r>
      <w:r w:rsidR="005B1BA9" w:rsidRPr="00E57FF5">
        <w:rPr>
          <w:rFonts w:eastAsia="Calibri"/>
          <w:sz w:val="22"/>
          <w:lang w:val="pl-PL"/>
        </w:rPr>
        <w:t xml:space="preserve">przeznaczonym </w:t>
      </w:r>
      <w:r w:rsidR="00211891" w:rsidRPr="00E57FF5">
        <w:rPr>
          <w:rFonts w:eastAsia="Calibri"/>
          <w:sz w:val="22"/>
          <w:lang w:val="pl-PL"/>
        </w:rPr>
        <w:t xml:space="preserve">na </w:t>
      </w:r>
      <w:r w:rsidR="005B1BA9" w:rsidRPr="00E57FF5">
        <w:rPr>
          <w:rFonts w:eastAsia="Calibri"/>
          <w:sz w:val="22"/>
          <w:lang w:val="pl-PL"/>
        </w:rPr>
        <w:t>jego realizację</w:t>
      </w:r>
      <w:r w:rsidR="00211891" w:rsidRPr="00E57FF5">
        <w:rPr>
          <w:rFonts w:eastAsia="Calibri"/>
          <w:sz w:val="22"/>
          <w:lang w:val="pl-PL"/>
        </w:rPr>
        <w:t>.</w:t>
      </w:r>
    </w:p>
    <w:p w14:paraId="1FF720B4" w14:textId="77777777" w:rsidR="00D7580F" w:rsidRDefault="00D7580F" w:rsidP="004E62AC">
      <w:pPr>
        <w:pStyle w:val="EYHeading4"/>
        <w:rPr>
          <w:lang w:val="pl-PL"/>
        </w:rPr>
      </w:pPr>
      <w:bookmarkStart w:id="106" w:name="_Toc486537936"/>
      <w:r w:rsidRPr="004E62AC">
        <w:rPr>
          <w:lang w:val="pl-PL"/>
        </w:rPr>
        <w:t>Regulacja gospodarki wapniowo-fosforanowej</w:t>
      </w:r>
      <w:bookmarkEnd w:id="106"/>
    </w:p>
    <w:p w14:paraId="66AE61C5" w14:textId="1F3318FF" w:rsidR="00211891" w:rsidRPr="00517FC0" w:rsidRDefault="00211891" w:rsidP="004E62AC">
      <w:pPr>
        <w:pStyle w:val="EYBulletedList1"/>
        <w:numPr>
          <w:ilvl w:val="0"/>
          <w:numId w:val="0"/>
        </w:numPr>
        <w:jc w:val="both"/>
        <w:rPr>
          <w:rFonts w:eastAsia="Calibri"/>
          <w:sz w:val="22"/>
          <w:lang w:val="pl-PL"/>
        </w:rPr>
      </w:pPr>
      <w:r w:rsidRPr="004E62AC">
        <w:rPr>
          <w:rFonts w:eastAsia="Calibri"/>
          <w:sz w:val="22"/>
          <w:lang w:val="pl-PL"/>
        </w:rPr>
        <w:t>Kolejnym elementem, który jest istotny</w:t>
      </w:r>
      <w:r>
        <w:rPr>
          <w:rFonts w:eastAsia="Calibri"/>
          <w:sz w:val="22"/>
          <w:lang w:val="pl-PL"/>
        </w:rPr>
        <w:t xml:space="preserve"> w leczeniu pacjentów z </w:t>
      </w:r>
      <w:proofErr w:type="spellStart"/>
      <w:r w:rsidR="005B1BA9">
        <w:rPr>
          <w:rFonts w:eastAsia="Calibri"/>
          <w:sz w:val="22"/>
          <w:lang w:val="pl-PL"/>
        </w:rPr>
        <w:t>PChN</w:t>
      </w:r>
      <w:proofErr w:type="spellEnd"/>
      <w:r>
        <w:rPr>
          <w:rFonts w:eastAsia="Calibri"/>
          <w:sz w:val="22"/>
          <w:lang w:val="pl-PL"/>
        </w:rPr>
        <w:t xml:space="preserve"> jest </w:t>
      </w:r>
      <w:r w:rsidRPr="00517FC0">
        <w:rPr>
          <w:rFonts w:eastAsia="Calibri"/>
          <w:sz w:val="22"/>
          <w:lang w:val="pl-PL"/>
        </w:rPr>
        <w:t>r</w:t>
      </w:r>
      <w:r w:rsidRPr="004E62AC">
        <w:rPr>
          <w:rFonts w:eastAsia="Calibri"/>
          <w:sz w:val="22"/>
          <w:lang w:val="pl-PL"/>
        </w:rPr>
        <w:t>egulacja gos</w:t>
      </w:r>
      <w:r w:rsidRPr="00517FC0">
        <w:rPr>
          <w:rFonts w:eastAsia="Calibri"/>
          <w:sz w:val="22"/>
          <w:lang w:val="pl-PL"/>
        </w:rPr>
        <w:t xml:space="preserve">podarki wapniowo-fosforanowej. </w:t>
      </w:r>
      <w:r>
        <w:rPr>
          <w:rFonts w:eastAsia="Calibri"/>
          <w:sz w:val="22"/>
          <w:lang w:val="pl-PL"/>
        </w:rPr>
        <w:t>Proponuje się</w:t>
      </w:r>
      <w:r w:rsidR="005B1BA9">
        <w:rPr>
          <w:rFonts w:eastAsia="Calibri"/>
          <w:sz w:val="22"/>
          <w:lang w:val="pl-PL"/>
        </w:rPr>
        <w:t>,</w:t>
      </w:r>
      <w:r>
        <w:rPr>
          <w:rFonts w:eastAsia="Calibri"/>
          <w:sz w:val="22"/>
          <w:lang w:val="pl-PL"/>
        </w:rPr>
        <w:t xml:space="preserve"> by w modelu </w:t>
      </w:r>
      <w:r w:rsidR="00682F2C">
        <w:rPr>
          <w:rFonts w:eastAsia="Calibri"/>
          <w:sz w:val="22"/>
          <w:lang w:val="pl-PL"/>
        </w:rPr>
        <w:t>opieki koordynowanej</w:t>
      </w:r>
      <w:r>
        <w:rPr>
          <w:rFonts w:eastAsia="Calibri"/>
          <w:sz w:val="22"/>
          <w:lang w:val="pl-PL"/>
        </w:rPr>
        <w:t xml:space="preserve"> odpowiedzialność za ten aspekt przejęły w całości jednostki koordynujące. Oznacza to, że środki finansowe przeznaczone na programy lekowe </w:t>
      </w:r>
      <w:r w:rsidRPr="00211891">
        <w:rPr>
          <w:rFonts w:eastAsia="Calibri"/>
          <w:sz w:val="22"/>
          <w:lang w:val="pl-PL"/>
        </w:rPr>
        <w:t>„Leczenie wtórnej nadczynności przytarczyc u pacjentów hemodializowanych”</w:t>
      </w:r>
      <w:r>
        <w:rPr>
          <w:rFonts w:eastAsia="Calibri"/>
          <w:sz w:val="22"/>
          <w:lang w:val="pl-PL"/>
        </w:rPr>
        <w:t xml:space="preserve"> oraz „Leczenie </w:t>
      </w:r>
      <w:proofErr w:type="spellStart"/>
      <w:r>
        <w:rPr>
          <w:rFonts w:eastAsia="Calibri"/>
          <w:sz w:val="22"/>
          <w:lang w:val="pl-PL"/>
        </w:rPr>
        <w:t>parykalcyto</w:t>
      </w:r>
      <w:r w:rsidR="000A21FC">
        <w:rPr>
          <w:rFonts w:eastAsia="Calibri"/>
          <w:sz w:val="22"/>
          <w:lang w:val="pl-PL"/>
        </w:rPr>
        <w:t>l</w:t>
      </w:r>
      <w:r>
        <w:rPr>
          <w:rFonts w:eastAsia="Calibri"/>
          <w:sz w:val="22"/>
          <w:lang w:val="pl-PL"/>
        </w:rPr>
        <w:t>em</w:t>
      </w:r>
      <w:proofErr w:type="spellEnd"/>
      <w:r>
        <w:rPr>
          <w:rFonts w:eastAsia="Calibri"/>
          <w:sz w:val="22"/>
          <w:lang w:val="pl-PL"/>
        </w:rPr>
        <w:t xml:space="preserve"> wtórej nadczynności przytarczyc u pacjentów hemodializowanych” powinny zostać przekazane jednostkom koordynującym</w:t>
      </w:r>
      <w:r w:rsidR="000A21FC">
        <w:rPr>
          <w:rFonts w:eastAsia="Calibri"/>
          <w:sz w:val="22"/>
          <w:lang w:val="pl-PL"/>
        </w:rPr>
        <w:t xml:space="preserve">, tak aby zostały wykorzystane w możliwie najbardziej efektywny sposób. Lekarz powinien mieć swobodę w doborze terapii leczniczej i kwalifikacji pacjentów do </w:t>
      </w:r>
      <w:r w:rsidR="00B22BAB">
        <w:rPr>
          <w:rFonts w:eastAsia="Calibri"/>
          <w:sz w:val="22"/>
          <w:lang w:val="pl-PL"/>
        </w:rPr>
        <w:t xml:space="preserve">leczenia zaburzeń </w:t>
      </w:r>
      <w:r w:rsidR="000A21FC">
        <w:rPr>
          <w:rFonts w:eastAsia="Calibri"/>
          <w:sz w:val="22"/>
          <w:lang w:val="pl-PL"/>
        </w:rPr>
        <w:t xml:space="preserve">gospodarki wapniowo-fosforanowej.  </w:t>
      </w:r>
    </w:p>
    <w:p w14:paraId="4AE9AE3D" w14:textId="0652B36D" w:rsidR="00D7580F" w:rsidRDefault="0011331F" w:rsidP="004E62AC">
      <w:pPr>
        <w:pStyle w:val="EYHeading4"/>
        <w:rPr>
          <w:lang w:val="pl-PL"/>
        </w:rPr>
      </w:pPr>
      <w:bookmarkStart w:id="107" w:name="_Toc486537937"/>
      <w:r>
        <w:rPr>
          <w:lang w:val="pl-PL"/>
        </w:rPr>
        <w:t>Uprawnienia</w:t>
      </w:r>
      <w:r w:rsidRPr="004E62AC">
        <w:rPr>
          <w:lang w:val="pl-PL"/>
        </w:rPr>
        <w:t xml:space="preserve"> </w:t>
      </w:r>
      <w:r w:rsidR="00185D10" w:rsidRPr="004E62AC">
        <w:rPr>
          <w:lang w:val="pl-PL"/>
        </w:rPr>
        <w:t>lekarza POZ</w:t>
      </w:r>
      <w:bookmarkEnd w:id="107"/>
    </w:p>
    <w:p w14:paraId="01CE34AD" w14:textId="526C907F" w:rsidR="00AE7042" w:rsidRPr="00AE7042" w:rsidRDefault="0049764B" w:rsidP="00AE7042">
      <w:pPr>
        <w:pStyle w:val="EYBulletedList1"/>
        <w:numPr>
          <w:ilvl w:val="0"/>
          <w:numId w:val="0"/>
        </w:numPr>
        <w:jc w:val="both"/>
        <w:rPr>
          <w:rFonts w:eastAsia="Calibri"/>
          <w:sz w:val="22"/>
          <w:lang w:val="pl-PL"/>
        </w:rPr>
      </w:pPr>
      <w:r w:rsidRPr="00AE7042">
        <w:rPr>
          <w:rFonts w:eastAsia="Calibri"/>
          <w:sz w:val="22"/>
          <w:lang w:val="pl-PL"/>
        </w:rPr>
        <w:t>Z uwagi na fakt, że pacjenci hemodializowani przebywają na stacji dializ przeciętnie trzy razy w tygodniu</w:t>
      </w:r>
      <w:r w:rsidR="00682F2C">
        <w:rPr>
          <w:rFonts w:eastAsia="Calibri"/>
          <w:sz w:val="22"/>
          <w:lang w:val="pl-PL"/>
        </w:rPr>
        <w:t xml:space="preserve"> przez kilka godzin</w:t>
      </w:r>
      <w:r w:rsidRPr="00AE7042">
        <w:rPr>
          <w:rFonts w:eastAsia="Calibri"/>
          <w:sz w:val="22"/>
          <w:lang w:val="pl-PL"/>
        </w:rPr>
        <w:t>, zespoły lekarzy i pielęgniarek przy stacjach dializ w praktyce świadczą pacjentom również usługi z zakresu podstawowej opieki zdrowotnej. Z drugiej strony, p</w:t>
      </w:r>
      <w:r w:rsidR="000A21FC" w:rsidRPr="00AE7042">
        <w:rPr>
          <w:rFonts w:eastAsia="Calibri"/>
          <w:sz w:val="22"/>
          <w:lang w:val="pl-PL"/>
        </w:rPr>
        <w:t xml:space="preserve">acjenci z </w:t>
      </w:r>
      <w:proofErr w:type="spellStart"/>
      <w:r w:rsidR="000A21FC" w:rsidRPr="00AE7042">
        <w:rPr>
          <w:rFonts w:eastAsia="Calibri"/>
          <w:sz w:val="22"/>
          <w:lang w:val="pl-PL"/>
        </w:rPr>
        <w:t>PChN</w:t>
      </w:r>
      <w:proofErr w:type="spellEnd"/>
      <w:r w:rsidR="000A21FC" w:rsidRPr="00AE7042">
        <w:rPr>
          <w:rFonts w:eastAsia="Calibri"/>
          <w:sz w:val="22"/>
          <w:lang w:val="pl-PL"/>
        </w:rPr>
        <w:t xml:space="preserve"> są z reguły </w:t>
      </w:r>
      <w:r w:rsidRPr="00AE7042">
        <w:rPr>
          <w:rFonts w:eastAsia="Calibri"/>
          <w:sz w:val="22"/>
          <w:lang w:val="pl-PL"/>
        </w:rPr>
        <w:t xml:space="preserve">pacjentami wymagającymi poszerzonych kompetencji od </w:t>
      </w:r>
      <w:r w:rsidR="000A21FC" w:rsidRPr="00AE7042">
        <w:rPr>
          <w:rFonts w:eastAsia="Calibri"/>
          <w:sz w:val="22"/>
          <w:lang w:val="pl-PL"/>
        </w:rPr>
        <w:t>lekarzy rodzinnych</w:t>
      </w:r>
      <w:r w:rsidRPr="00AE7042">
        <w:rPr>
          <w:rFonts w:eastAsia="Calibri"/>
          <w:sz w:val="22"/>
          <w:lang w:val="pl-PL"/>
        </w:rPr>
        <w:t>, ponieważ fakt</w:t>
      </w:r>
      <w:r w:rsidR="00500008" w:rsidRPr="00AE7042">
        <w:rPr>
          <w:rFonts w:eastAsia="Calibri"/>
          <w:sz w:val="22"/>
          <w:lang w:val="pl-PL"/>
        </w:rPr>
        <w:t xml:space="preserve"> </w:t>
      </w:r>
      <w:r w:rsidRPr="00AE7042">
        <w:rPr>
          <w:rFonts w:eastAsia="Calibri"/>
          <w:sz w:val="22"/>
          <w:lang w:val="pl-PL"/>
        </w:rPr>
        <w:t>l</w:t>
      </w:r>
      <w:r w:rsidR="000A21FC" w:rsidRPr="00AE7042">
        <w:rPr>
          <w:rFonts w:eastAsia="Calibri"/>
          <w:sz w:val="22"/>
          <w:lang w:val="pl-PL"/>
        </w:rPr>
        <w:t>eczeni</w:t>
      </w:r>
      <w:r w:rsidRPr="00AE7042">
        <w:rPr>
          <w:rFonts w:eastAsia="Calibri"/>
          <w:sz w:val="22"/>
          <w:lang w:val="pl-PL"/>
        </w:rPr>
        <w:t>a</w:t>
      </w:r>
      <w:r w:rsidR="000A21FC" w:rsidRPr="00AE7042">
        <w:rPr>
          <w:rFonts w:eastAsia="Calibri"/>
          <w:sz w:val="22"/>
          <w:lang w:val="pl-PL"/>
        </w:rPr>
        <w:t xml:space="preserve"> nerkozastępcze</w:t>
      </w:r>
      <w:r w:rsidRPr="00AE7042">
        <w:rPr>
          <w:rFonts w:eastAsia="Calibri"/>
          <w:sz w:val="22"/>
          <w:lang w:val="pl-PL"/>
        </w:rPr>
        <w:t>go</w:t>
      </w:r>
      <w:r w:rsidR="000A21FC" w:rsidRPr="00AE7042">
        <w:rPr>
          <w:rFonts w:eastAsia="Calibri"/>
          <w:sz w:val="22"/>
          <w:lang w:val="pl-PL"/>
        </w:rPr>
        <w:t xml:space="preserve"> </w:t>
      </w:r>
      <w:r w:rsidRPr="00AE7042">
        <w:rPr>
          <w:rFonts w:eastAsia="Calibri"/>
          <w:sz w:val="22"/>
          <w:lang w:val="pl-PL"/>
        </w:rPr>
        <w:t>wpływa na wybór terapii w przypadku innych chorób współwystępujących, zarówno przewlekłych, jak i doraźnych</w:t>
      </w:r>
      <w:r w:rsidR="00231CF1" w:rsidRPr="00AE7042">
        <w:rPr>
          <w:rFonts w:eastAsia="Calibri"/>
          <w:sz w:val="22"/>
          <w:lang w:val="pl-PL"/>
        </w:rPr>
        <w:t>. Z tego</w:t>
      </w:r>
      <w:r w:rsidR="00500008" w:rsidRPr="00AE7042">
        <w:rPr>
          <w:rFonts w:eastAsia="Calibri"/>
          <w:sz w:val="22"/>
          <w:lang w:val="pl-PL"/>
        </w:rPr>
        <w:t xml:space="preserve"> względu</w:t>
      </w:r>
      <w:r w:rsidR="00231CF1" w:rsidRPr="00AE7042">
        <w:rPr>
          <w:rFonts w:eastAsia="Calibri"/>
          <w:sz w:val="22"/>
          <w:lang w:val="pl-PL"/>
        </w:rPr>
        <w:t xml:space="preserve"> </w:t>
      </w:r>
      <w:r w:rsidRPr="00AE7042">
        <w:rPr>
          <w:rFonts w:eastAsia="Calibri"/>
          <w:sz w:val="22"/>
          <w:lang w:val="pl-PL"/>
        </w:rPr>
        <w:t xml:space="preserve">proponuje się </w:t>
      </w:r>
      <w:r w:rsidR="000A21FC" w:rsidRPr="00AE7042">
        <w:rPr>
          <w:rFonts w:eastAsia="Calibri"/>
          <w:sz w:val="22"/>
          <w:lang w:val="pl-PL"/>
        </w:rPr>
        <w:t xml:space="preserve">przekazanie </w:t>
      </w:r>
      <w:r w:rsidR="0011331F">
        <w:rPr>
          <w:rFonts w:eastAsia="Calibri"/>
          <w:sz w:val="22"/>
          <w:lang w:val="pl-PL"/>
        </w:rPr>
        <w:t>części uprawnień</w:t>
      </w:r>
      <w:r w:rsidR="0011331F" w:rsidRPr="00AE7042">
        <w:rPr>
          <w:rFonts w:eastAsia="Calibri"/>
          <w:sz w:val="22"/>
          <w:lang w:val="pl-PL"/>
        </w:rPr>
        <w:t xml:space="preserve"> </w:t>
      </w:r>
      <w:r w:rsidR="000A21FC" w:rsidRPr="00AE7042">
        <w:rPr>
          <w:rFonts w:eastAsia="Calibri"/>
          <w:sz w:val="22"/>
          <w:lang w:val="pl-PL"/>
        </w:rPr>
        <w:t xml:space="preserve">lekarza POZ </w:t>
      </w:r>
      <w:r w:rsidR="00231CF1" w:rsidRPr="00AE7042">
        <w:rPr>
          <w:rFonts w:eastAsia="Calibri"/>
          <w:sz w:val="22"/>
          <w:lang w:val="pl-PL"/>
        </w:rPr>
        <w:t>jednostko</w:t>
      </w:r>
      <w:r w:rsidR="00CC3299" w:rsidRPr="00AE7042">
        <w:rPr>
          <w:rFonts w:eastAsia="Calibri"/>
          <w:sz w:val="22"/>
          <w:lang w:val="pl-PL"/>
        </w:rPr>
        <w:t>m koordynującym</w:t>
      </w:r>
      <w:r w:rsidR="00231CF1" w:rsidRPr="00AE7042">
        <w:rPr>
          <w:rFonts w:eastAsia="Calibri"/>
          <w:sz w:val="22"/>
          <w:lang w:val="pl-PL"/>
        </w:rPr>
        <w:t>.</w:t>
      </w:r>
      <w:r w:rsidR="00CC3299" w:rsidRPr="00AE7042">
        <w:rPr>
          <w:rFonts w:eastAsia="Calibri"/>
          <w:sz w:val="22"/>
          <w:lang w:val="pl-PL"/>
        </w:rPr>
        <w:t xml:space="preserve"> </w:t>
      </w:r>
      <w:r w:rsidRPr="00AE7042">
        <w:rPr>
          <w:rFonts w:eastAsia="Calibri"/>
          <w:sz w:val="22"/>
          <w:lang w:val="pl-PL"/>
        </w:rPr>
        <w:t xml:space="preserve">Pozwoli to potencjalnie na </w:t>
      </w:r>
      <w:r w:rsidR="00231CF1" w:rsidRPr="00AE7042">
        <w:rPr>
          <w:rFonts w:eastAsia="Calibri"/>
          <w:sz w:val="22"/>
          <w:lang w:val="pl-PL"/>
        </w:rPr>
        <w:t>zmniejszeni</w:t>
      </w:r>
      <w:r w:rsidRPr="00AE7042">
        <w:rPr>
          <w:rFonts w:eastAsia="Calibri"/>
          <w:sz w:val="22"/>
          <w:lang w:val="pl-PL"/>
        </w:rPr>
        <w:t>e liczby</w:t>
      </w:r>
      <w:r w:rsidR="00CC3299" w:rsidRPr="00AE7042">
        <w:rPr>
          <w:rFonts w:eastAsia="Calibri"/>
          <w:sz w:val="22"/>
          <w:lang w:val="pl-PL"/>
        </w:rPr>
        <w:t xml:space="preserve"> </w:t>
      </w:r>
      <w:r w:rsidR="000A21FC" w:rsidRPr="00AE7042">
        <w:rPr>
          <w:rFonts w:eastAsia="Calibri"/>
          <w:sz w:val="22"/>
          <w:lang w:val="pl-PL"/>
        </w:rPr>
        <w:t xml:space="preserve">wizyt w </w:t>
      </w:r>
      <w:r w:rsidRPr="00AE7042">
        <w:rPr>
          <w:rFonts w:eastAsia="Calibri"/>
          <w:sz w:val="22"/>
          <w:lang w:val="pl-PL"/>
        </w:rPr>
        <w:t xml:space="preserve">poradniach POZ </w:t>
      </w:r>
      <w:r w:rsidRPr="00AE7042">
        <w:rPr>
          <w:rFonts w:eastAsia="Calibri"/>
          <w:sz w:val="22"/>
          <w:lang w:val="pl-PL"/>
        </w:rPr>
        <w:lastRenderedPageBreak/>
        <w:t xml:space="preserve">oraz skrócenie czasu </w:t>
      </w:r>
      <w:r w:rsidR="000A21FC" w:rsidRPr="00AE7042">
        <w:rPr>
          <w:rFonts w:eastAsia="Calibri"/>
          <w:sz w:val="22"/>
          <w:lang w:val="pl-PL"/>
        </w:rPr>
        <w:t xml:space="preserve">oczekiwania na poszczególne świadczenia. Przykładem </w:t>
      </w:r>
      <w:r w:rsidR="0011331F">
        <w:rPr>
          <w:rFonts w:eastAsia="Calibri"/>
          <w:sz w:val="22"/>
          <w:lang w:val="pl-PL"/>
        </w:rPr>
        <w:t>uprawnień</w:t>
      </w:r>
      <w:r w:rsidR="0011331F" w:rsidRPr="00AE7042">
        <w:rPr>
          <w:rFonts w:eastAsia="Calibri"/>
          <w:sz w:val="22"/>
          <w:lang w:val="pl-PL"/>
        </w:rPr>
        <w:t xml:space="preserve"> </w:t>
      </w:r>
      <w:r w:rsidR="00267A47" w:rsidRPr="00AE7042">
        <w:rPr>
          <w:rFonts w:eastAsia="Calibri"/>
          <w:sz w:val="22"/>
          <w:lang w:val="pl-PL"/>
        </w:rPr>
        <w:t xml:space="preserve">POZ możliwych do przekazania jednostkom koordynującym jest np. </w:t>
      </w:r>
      <w:r w:rsidR="00B22BAB">
        <w:rPr>
          <w:rFonts w:eastAsia="Calibri"/>
          <w:sz w:val="22"/>
          <w:lang w:val="pl-PL"/>
        </w:rPr>
        <w:t>zlecanie</w:t>
      </w:r>
      <w:r w:rsidR="000A21FC" w:rsidRPr="00AE7042">
        <w:rPr>
          <w:rFonts w:eastAsia="Calibri"/>
          <w:sz w:val="22"/>
          <w:lang w:val="pl-PL"/>
        </w:rPr>
        <w:t xml:space="preserve"> bada</w:t>
      </w:r>
      <w:r w:rsidR="00B22BAB">
        <w:rPr>
          <w:rFonts w:eastAsia="Calibri"/>
          <w:sz w:val="22"/>
          <w:lang w:val="pl-PL"/>
        </w:rPr>
        <w:t>ń dodatkowych</w:t>
      </w:r>
      <w:r w:rsidR="000A21FC" w:rsidRPr="00AE7042">
        <w:rPr>
          <w:rFonts w:eastAsia="Calibri"/>
          <w:sz w:val="22"/>
          <w:lang w:val="pl-PL"/>
        </w:rPr>
        <w:t xml:space="preserve">, zlecanie transportu medycznego czy też </w:t>
      </w:r>
      <w:r w:rsidR="00B22BAB">
        <w:rPr>
          <w:rFonts w:eastAsia="Calibri"/>
          <w:sz w:val="22"/>
          <w:lang w:val="pl-PL"/>
        </w:rPr>
        <w:t>wystawianie</w:t>
      </w:r>
      <w:r w:rsidR="00B22BAB" w:rsidRPr="00AE7042">
        <w:rPr>
          <w:rFonts w:eastAsia="Calibri"/>
          <w:sz w:val="22"/>
          <w:lang w:val="pl-PL"/>
        </w:rPr>
        <w:t xml:space="preserve"> </w:t>
      </w:r>
      <w:r w:rsidR="000A21FC" w:rsidRPr="00AE7042">
        <w:rPr>
          <w:rFonts w:eastAsia="Calibri"/>
          <w:sz w:val="22"/>
          <w:lang w:val="pl-PL"/>
        </w:rPr>
        <w:t>recept 75+</w:t>
      </w:r>
      <w:r w:rsidR="00231CF1" w:rsidRPr="00AE7042">
        <w:rPr>
          <w:rFonts w:eastAsia="Calibri"/>
          <w:sz w:val="22"/>
          <w:lang w:val="pl-PL"/>
        </w:rPr>
        <w:t>.</w:t>
      </w:r>
      <w:r w:rsidR="000A21FC" w:rsidRPr="00AE7042">
        <w:rPr>
          <w:rFonts w:eastAsia="Calibri"/>
          <w:sz w:val="22"/>
          <w:lang w:val="pl-PL"/>
        </w:rPr>
        <w:t xml:space="preserve"> </w:t>
      </w:r>
    </w:p>
    <w:p w14:paraId="5EC79482" w14:textId="77777777" w:rsidR="00185D10" w:rsidRDefault="00185D10" w:rsidP="00AE7042">
      <w:pPr>
        <w:pStyle w:val="EYHeading4"/>
        <w:rPr>
          <w:lang w:val="pl-PL"/>
        </w:rPr>
      </w:pPr>
      <w:bookmarkStart w:id="108" w:name="_Toc486537938"/>
      <w:r>
        <w:rPr>
          <w:lang w:val="pl-PL"/>
        </w:rPr>
        <w:t>Koordynacja</w:t>
      </w:r>
      <w:r w:rsidRPr="00185D10">
        <w:rPr>
          <w:lang w:val="pl-PL"/>
        </w:rPr>
        <w:t xml:space="preserve"> opieki nad chorym oraz </w:t>
      </w:r>
      <w:r>
        <w:rPr>
          <w:lang w:val="pl-PL"/>
        </w:rPr>
        <w:t>świadczenia uzupełniające</w:t>
      </w:r>
      <w:bookmarkEnd w:id="108"/>
    </w:p>
    <w:p w14:paraId="299919E5" w14:textId="7AE523F0" w:rsidR="00231CF1" w:rsidRDefault="00267A47" w:rsidP="004E62AC">
      <w:pPr>
        <w:pStyle w:val="EYBulletedList1"/>
        <w:numPr>
          <w:ilvl w:val="0"/>
          <w:numId w:val="0"/>
        </w:numPr>
        <w:jc w:val="both"/>
        <w:rPr>
          <w:rFonts w:eastAsia="Calibri"/>
          <w:lang w:val="pl-PL"/>
        </w:rPr>
      </w:pPr>
      <w:r>
        <w:rPr>
          <w:rFonts w:eastAsia="Calibri"/>
          <w:sz w:val="22"/>
          <w:lang w:val="pl-PL"/>
        </w:rPr>
        <w:t xml:space="preserve">Przejęcie odpowiedzialności za wyniki leczenia jest istotnym czynnikiem sukcesu dla prawidłowego </w:t>
      </w:r>
      <w:r w:rsidR="00231CF1">
        <w:rPr>
          <w:rFonts w:eastAsia="Calibri"/>
          <w:sz w:val="22"/>
          <w:lang w:val="pl-PL"/>
        </w:rPr>
        <w:t xml:space="preserve">funkcjonowania opieki koordynowanej pacjentów z </w:t>
      </w:r>
      <w:proofErr w:type="spellStart"/>
      <w:r>
        <w:rPr>
          <w:rFonts w:eastAsia="Calibri"/>
          <w:sz w:val="22"/>
          <w:lang w:val="pl-PL"/>
        </w:rPr>
        <w:t>PChN</w:t>
      </w:r>
      <w:proofErr w:type="spellEnd"/>
      <w:r w:rsidR="00231CF1">
        <w:rPr>
          <w:rFonts w:eastAsia="Calibri"/>
          <w:sz w:val="22"/>
          <w:lang w:val="pl-PL"/>
        </w:rPr>
        <w:t>. Rolą jednostki koordynującej powinno być zarządzanie lecz</w:t>
      </w:r>
      <w:r w:rsidR="00893F77">
        <w:rPr>
          <w:rFonts w:eastAsia="Calibri"/>
          <w:sz w:val="22"/>
          <w:lang w:val="pl-PL"/>
        </w:rPr>
        <w:t xml:space="preserve">eniem, czyli koordynacja i dobór </w:t>
      </w:r>
      <w:r>
        <w:rPr>
          <w:rFonts w:eastAsia="Calibri"/>
          <w:sz w:val="22"/>
          <w:lang w:val="pl-PL"/>
        </w:rPr>
        <w:t xml:space="preserve">optymalnych </w:t>
      </w:r>
      <w:r w:rsidR="00893F77">
        <w:rPr>
          <w:rFonts w:eastAsia="Calibri"/>
          <w:sz w:val="22"/>
          <w:lang w:val="pl-PL"/>
        </w:rPr>
        <w:t xml:space="preserve">dla danego pacjenta terapii. Zespół koordynujący powinien </w:t>
      </w:r>
      <w:r>
        <w:rPr>
          <w:rFonts w:eastAsia="Calibri"/>
          <w:sz w:val="22"/>
          <w:lang w:val="pl-PL"/>
        </w:rPr>
        <w:t xml:space="preserve">być </w:t>
      </w:r>
      <w:r w:rsidR="00893F77">
        <w:rPr>
          <w:rFonts w:eastAsia="Calibri"/>
          <w:sz w:val="22"/>
          <w:lang w:val="pl-PL"/>
        </w:rPr>
        <w:t>odpowiedzialn</w:t>
      </w:r>
      <w:r>
        <w:rPr>
          <w:rFonts w:eastAsia="Calibri"/>
          <w:sz w:val="22"/>
          <w:lang w:val="pl-PL"/>
        </w:rPr>
        <w:t>y</w:t>
      </w:r>
      <w:r w:rsidR="00893F77">
        <w:rPr>
          <w:rFonts w:eastAsia="Calibri"/>
          <w:sz w:val="22"/>
          <w:lang w:val="pl-PL"/>
        </w:rPr>
        <w:t xml:space="preserve"> za wybór metody leczenia nerkozastępczego, przeprowadzenie pacjenta przez proces </w:t>
      </w:r>
      <w:r w:rsidR="00B6627A">
        <w:rPr>
          <w:rFonts w:eastAsia="Calibri"/>
          <w:sz w:val="22"/>
          <w:lang w:val="pl-PL"/>
        </w:rPr>
        <w:t>przygotowania do zgłoszenia do przeszczepienia</w:t>
      </w:r>
      <w:r w:rsidR="00893F77">
        <w:rPr>
          <w:rFonts w:eastAsia="Calibri"/>
          <w:sz w:val="22"/>
          <w:lang w:val="pl-PL"/>
        </w:rPr>
        <w:t xml:space="preserve"> oraz wybór niezbędnej farmakoterapii. Skuteczne i pełne leczenie powinno zostać uzupełnione o możliwość udzielania porad dietetycznych i psycholog</w:t>
      </w:r>
      <w:r>
        <w:rPr>
          <w:rFonts w:eastAsia="Calibri"/>
          <w:sz w:val="22"/>
          <w:lang w:val="pl-PL"/>
        </w:rPr>
        <w:t>icznych</w:t>
      </w:r>
      <w:r w:rsidR="00591641">
        <w:rPr>
          <w:rFonts w:eastAsia="Calibri"/>
          <w:sz w:val="22"/>
          <w:lang w:val="pl-PL"/>
        </w:rPr>
        <w:t>, fizjoterapię</w:t>
      </w:r>
      <w:r w:rsidR="00893F77">
        <w:rPr>
          <w:rFonts w:eastAsia="Calibri"/>
          <w:sz w:val="22"/>
          <w:lang w:val="pl-PL"/>
        </w:rPr>
        <w:t xml:space="preserve">, a także </w:t>
      </w:r>
      <w:r w:rsidR="004536A0">
        <w:rPr>
          <w:rFonts w:eastAsia="Calibri"/>
          <w:sz w:val="22"/>
          <w:lang w:val="pl-PL"/>
        </w:rPr>
        <w:t>edukację</w:t>
      </w:r>
      <w:r w:rsidR="00893F77">
        <w:rPr>
          <w:rFonts w:eastAsia="Calibri"/>
          <w:sz w:val="22"/>
          <w:lang w:val="pl-PL"/>
        </w:rPr>
        <w:t xml:space="preserve"> </w:t>
      </w:r>
      <w:r w:rsidR="004536A0">
        <w:rPr>
          <w:rFonts w:eastAsia="Calibri"/>
          <w:sz w:val="22"/>
          <w:lang w:val="pl-PL"/>
        </w:rPr>
        <w:t>pacjenta</w:t>
      </w:r>
      <w:r w:rsidR="00893F77">
        <w:rPr>
          <w:rFonts w:eastAsia="Calibri"/>
          <w:sz w:val="22"/>
          <w:lang w:val="pl-PL"/>
        </w:rPr>
        <w:t>, obejmując</w:t>
      </w:r>
      <w:r w:rsidR="004536A0">
        <w:rPr>
          <w:rFonts w:eastAsia="Calibri"/>
          <w:sz w:val="22"/>
          <w:lang w:val="pl-PL"/>
        </w:rPr>
        <w:t>ą</w:t>
      </w:r>
      <w:r w:rsidR="00893F77">
        <w:rPr>
          <w:rFonts w:eastAsia="Calibri"/>
          <w:sz w:val="22"/>
          <w:lang w:val="pl-PL"/>
        </w:rPr>
        <w:t xml:space="preserve"> </w:t>
      </w:r>
      <w:r w:rsidR="006314E5">
        <w:rPr>
          <w:rFonts w:eastAsia="Calibri"/>
          <w:sz w:val="22"/>
          <w:lang w:val="pl-PL"/>
        </w:rPr>
        <w:t>m.in.</w:t>
      </w:r>
      <w:r w:rsidR="00893F77">
        <w:rPr>
          <w:rFonts w:eastAsia="Calibri"/>
          <w:sz w:val="22"/>
          <w:lang w:val="pl-PL"/>
        </w:rPr>
        <w:t xml:space="preserve"> przygotowanie do dializoterapii czy transplantacj</w:t>
      </w:r>
      <w:r w:rsidR="004536A0">
        <w:rPr>
          <w:rFonts w:eastAsia="Calibri"/>
          <w:sz w:val="22"/>
          <w:lang w:val="pl-PL"/>
        </w:rPr>
        <w:t>i</w:t>
      </w:r>
      <w:r w:rsidR="00893F77">
        <w:rPr>
          <w:rFonts w:eastAsia="Calibri"/>
          <w:sz w:val="22"/>
          <w:lang w:val="pl-PL"/>
        </w:rPr>
        <w:t xml:space="preserve">. Proponowany model opieki zakłada umożliwienie jednostkom koordynującym </w:t>
      </w:r>
      <w:r w:rsidR="00517FC0">
        <w:rPr>
          <w:rFonts w:eastAsia="Calibri"/>
          <w:sz w:val="22"/>
          <w:lang w:val="pl-PL"/>
        </w:rPr>
        <w:t>finansowania świadczeń z zakresu dietetyki, edukacji</w:t>
      </w:r>
      <w:r w:rsidR="00591641">
        <w:rPr>
          <w:rFonts w:eastAsia="Calibri"/>
          <w:sz w:val="22"/>
          <w:lang w:val="pl-PL"/>
        </w:rPr>
        <w:t>, fizjoterapii</w:t>
      </w:r>
      <w:r w:rsidR="00517FC0">
        <w:rPr>
          <w:rFonts w:eastAsia="Calibri"/>
          <w:sz w:val="22"/>
          <w:lang w:val="pl-PL"/>
        </w:rPr>
        <w:t xml:space="preserve"> i porad </w:t>
      </w:r>
      <w:r w:rsidR="00517FC0" w:rsidRPr="006314E5">
        <w:rPr>
          <w:rFonts w:eastAsia="Calibri"/>
          <w:sz w:val="22"/>
          <w:szCs w:val="22"/>
          <w:lang w:val="pl-PL"/>
        </w:rPr>
        <w:t>psychologicznych</w:t>
      </w:r>
      <w:r w:rsidR="006314E5" w:rsidRPr="006314E5">
        <w:rPr>
          <w:rStyle w:val="Odwoanieprzypisudolnego"/>
          <w:rFonts w:eastAsia="Calibri"/>
          <w:sz w:val="22"/>
          <w:szCs w:val="22"/>
          <w:lang w:val="pl-PL"/>
        </w:rPr>
        <w:footnoteReference w:id="67"/>
      </w:r>
      <w:r w:rsidR="00517FC0" w:rsidRPr="006314E5">
        <w:rPr>
          <w:rFonts w:eastAsia="Calibri"/>
          <w:sz w:val="22"/>
          <w:szCs w:val="22"/>
          <w:lang w:val="pl-PL"/>
        </w:rPr>
        <w:t>. Nie</w:t>
      </w:r>
      <w:r w:rsidR="00517FC0">
        <w:rPr>
          <w:rFonts w:eastAsia="Calibri"/>
          <w:sz w:val="22"/>
          <w:lang w:val="pl-PL"/>
        </w:rPr>
        <w:t xml:space="preserve"> rekomenduje się zobowiązywania jednostek do zwiększania stanu zatrudnienia specjalistów</w:t>
      </w:r>
      <w:r w:rsidR="00500008">
        <w:rPr>
          <w:rFonts w:eastAsia="Calibri"/>
          <w:sz w:val="22"/>
          <w:lang w:val="pl-PL"/>
        </w:rPr>
        <w:t xml:space="preserve"> etatowych</w:t>
      </w:r>
      <w:r w:rsidR="00517FC0">
        <w:rPr>
          <w:rFonts w:eastAsia="Calibri"/>
          <w:sz w:val="22"/>
          <w:lang w:val="pl-PL"/>
        </w:rPr>
        <w:t xml:space="preserve"> w tych zakresach, ale </w:t>
      </w:r>
      <w:r w:rsidR="00682F2C">
        <w:rPr>
          <w:rFonts w:eastAsia="Calibri"/>
          <w:sz w:val="22"/>
          <w:lang w:val="pl-PL"/>
        </w:rPr>
        <w:t>„</w:t>
      </w:r>
      <w:r w:rsidR="00517FC0">
        <w:rPr>
          <w:rFonts w:eastAsia="Calibri"/>
          <w:sz w:val="22"/>
          <w:lang w:val="pl-PL"/>
        </w:rPr>
        <w:t xml:space="preserve">kontraktowania </w:t>
      </w:r>
      <w:r w:rsidR="00682F2C">
        <w:rPr>
          <w:rFonts w:eastAsia="Calibri"/>
          <w:sz w:val="22"/>
          <w:lang w:val="pl-PL"/>
        </w:rPr>
        <w:t xml:space="preserve">godzin” </w:t>
      </w:r>
      <w:r w:rsidR="00517FC0">
        <w:rPr>
          <w:rFonts w:eastAsia="Calibri"/>
          <w:sz w:val="22"/>
          <w:lang w:val="pl-PL"/>
        </w:rPr>
        <w:t xml:space="preserve">niezbędnych usług. </w:t>
      </w:r>
      <w:r w:rsidR="004536A0">
        <w:rPr>
          <w:rFonts w:eastAsia="Calibri"/>
          <w:sz w:val="22"/>
          <w:lang w:val="pl-PL"/>
        </w:rPr>
        <w:t>Elementy te pozwolą na podniesienie</w:t>
      </w:r>
      <w:r w:rsidR="00500008">
        <w:rPr>
          <w:rFonts w:eastAsia="Calibri"/>
          <w:sz w:val="22"/>
          <w:lang w:val="pl-PL"/>
        </w:rPr>
        <w:t xml:space="preserve"> </w:t>
      </w:r>
      <w:r w:rsidR="00517FC0">
        <w:rPr>
          <w:rFonts w:eastAsia="Calibri"/>
          <w:sz w:val="22"/>
          <w:lang w:val="pl-PL"/>
        </w:rPr>
        <w:t>jakoś</w:t>
      </w:r>
      <w:r w:rsidR="004536A0">
        <w:rPr>
          <w:rFonts w:eastAsia="Calibri"/>
          <w:sz w:val="22"/>
          <w:lang w:val="pl-PL"/>
        </w:rPr>
        <w:t>ci</w:t>
      </w:r>
      <w:r w:rsidR="00517FC0">
        <w:rPr>
          <w:rFonts w:eastAsia="Calibri"/>
          <w:sz w:val="22"/>
          <w:lang w:val="pl-PL"/>
        </w:rPr>
        <w:t xml:space="preserve"> opieki i </w:t>
      </w:r>
      <w:r w:rsidR="004536A0">
        <w:rPr>
          <w:rFonts w:eastAsia="Calibri"/>
          <w:sz w:val="22"/>
          <w:lang w:val="pl-PL"/>
        </w:rPr>
        <w:t>skoordynowane udzielanie świadczeń</w:t>
      </w:r>
      <w:r w:rsidR="00517FC0">
        <w:rPr>
          <w:rFonts w:eastAsia="Calibri"/>
          <w:sz w:val="22"/>
          <w:lang w:val="pl-PL"/>
        </w:rPr>
        <w:t>.</w:t>
      </w:r>
      <w:r w:rsidR="0008358E">
        <w:rPr>
          <w:rFonts w:eastAsia="Calibri"/>
          <w:sz w:val="22"/>
          <w:lang w:val="pl-PL"/>
        </w:rPr>
        <w:t xml:space="preserve"> Właściwym wydaje się </w:t>
      </w:r>
      <w:r w:rsidR="00D3261C">
        <w:rPr>
          <w:rFonts w:eastAsia="Calibri"/>
          <w:sz w:val="22"/>
          <w:lang w:val="pl-PL"/>
        </w:rPr>
        <w:t xml:space="preserve">w tej sytuacji </w:t>
      </w:r>
      <w:r w:rsidR="0008358E">
        <w:rPr>
          <w:rFonts w:eastAsia="Calibri"/>
          <w:sz w:val="22"/>
          <w:lang w:val="pl-PL"/>
        </w:rPr>
        <w:t xml:space="preserve">monitorowanie jakości </w:t>
      </w:r>
      <w:r w:rsidR="0008358E" w:rsidRPr="0008358E">
        <w:rPr>
          <w:rFonts w:eastAsia="Calibri"/>
          <w:sz w:val="22"/>
          <w:lang w:val="pl-PL"/>
        </w:rPr>
        <w:t>życia pacje</w:t>
      </w:r>
      <w:r w:rsidR="0008358E">
        <w:rPr>
          <w:rFonts w:eastAsia="Calibri"/>
          <w:sz w:val="22"/>
          <w:lang w:val="pl-PL"/>
        </w:rPr>
        <w:t>ntów dializowanych</w:t>
      </w:r>
      <w:r w:rsidR="004536A0">
        <w:rPr>
          <w:rFonts w:eastAsia="Calibri"/>
          <w:sz w:val="22"/>
          <w:lang w:val="pl-PL"/>
        </w:rPr>
        <w:t>,</w:t>
      </w:r>
      <w:r w:rsidR="0008358E">
        <w:rPr>
          <w:rFonts w:eastAsia="Calibri"/>
          <w:sz w:val="22"/>
          <w:lang w:val="pl-PL"/>
        </w:rPr>
        <w:t xml:space="preserve"> np. poprzez samoocenę </w:t>
      </w:r>
      <w:r w:rsidR="00D3261C">
        <w:rPr>
          <w:rFonts w:eastAsia="Calibri"/>
          <w:sz w:val="22"/>
          <w:lang w:val="pl-PL"/>
        </w:rPr>
        <w:t>pacjenta dotyczącą</w:t>
      </w:r>
      <w:r w:rsidR="0008358E" w:rsidRPr="0008358E">
        <w:rPr>
          <w:rFonts w:eastAsia="Calibri"/>
          <w:sz w:val="22"/>
          <w:lang w:val="pl-PL"/>
        </w:rPr>
        <w:t xml:space="preserve"> wpływu choroby i </w:t>
      </w:r>
      <w:r w:rsidR="0008358E" w:rsidRPr="00682F2C">
        <w:rPr>
          <w:rFonts w:eastAsia="Calibri"/>
          <w:sz w:val="22"/>
          <w:szCs w:val="22"/>
          <w:lang w:val="pl-PL"/>
        </w:rPr>
        <w:t xml:space="preserve">stosowanego leczenia na jego funkcjonowanie w zakresie fizycznym, psychicznym i społecznym w formie ankiety </w:t>
      </w:r>
      <w:proofErr w:type="spellStart"/>
      <w:r w:rsidR="0008358E" w:rsidRPr="00682F2C">
        <w:rPr>
          <w:rFonts w:eastAsia="Calibri"/>
          <w:sz w:val="22"/>
          <w:szCs w:val="22"/>
          <w:lang w:val="pl-PL"/>
        </w:rPr>
        <w:t>Kidney</w:t>
      </w:r>
      <w:proofErr w:type="spellEnd"/>
      <w:r w:rsidR="0008358E" w:rsidRPr="00682F2C">
        <w:rPr>
          <w:rFonts w:eastAsia="Calibri"/>
          <w:sz w:val="22"/>
          <w:szCs w:val="22"/>
          <w:lang w:val="pl-PL"/>
        </w:rPr>
        <w:t xml:space="preserve"> </w:t>
      </w:r>
      <w:proofErr w:type="spellStart"/>
      <w:r w:rsidR="0008358E" w:rsidRPr="00682F2C">
        <w:rPr>
          <w:rFonts w:eastAsia="Calibri"/>
          <w:sz w:val="22"/>
          <w:szCs w:val="22"/>
          <w:lang w:val="pl-PL"/>
        </w:rPr>
        <w:t>Disease</w:t>
      </w:r>
      <w:proofErr w:type="spellEnd"/>
      <w:r w:rsidR="0008358E" w:rsidRPr="00682F2C">
        <w:rPr>
          <w:rFonts w:eastAsia="Calibri"/>
          <w:sz w:val="22"/>
          <w:szCs w:val="22"/>
          <w:lang w:val="pl-PL"/>
        </w:rPr>
        <w:t xml:space="preserve"> and </w:t>
      </w:r>
      <w:proofErr w:type="spellStart"/>
      <w:r w:rsidR="0008358E" w:rsidRPr="00682F2C">
        <w:rPr>
          <w:rFonts w:eastAsia="Calibri"/>
          <w:sz w:val="22"/>
          <w:szCs w:val="22"/>
          <w:lang w:val="pl-PL"/>
        </w:rPr>
        <w:t>Quality</w:t>
      </w:r>
      <w:proofErr w:type="spellEnd"/>
      <w:r w:rsidR="0008358E" w:rsidRPr="00682F2C">
        <w:rPr>
          <w:rFonts w:eastAsia="Calibri"/>
          <w:sz w:val="22"/>
          <w:szCs w:val="22"/>
          <w:lang w:val="pl-PL"/>
        </w:rPr>
        <w:t xml:space="preserve"> of Life™ </w:t>
      </w:r>
      <w:proofErr w:type="spellStart"/>
      <w:r w:rsidR="0008358E" w:rsidRPr="00682F2C">
        <w:rPr>
          <w:rFonts w:eastAsia="Calibri"/>
          <w:sz w:val="22"/>
          <w:szCs w:val="22"/>
          <w:lang w:val="pl-PL"/>
        </w:rPr>
        <w:t>Short</w:t>
      </w:r>
      <w:proofErr w:type="spellEnd"/>
      <w:r w:rsidR="0008358E" w:rsidRPr="00682F2C">
        <w:rPr>
          <w:rFonts w:eastAsia="Calibri"/>
          <w:sz w:val="22"/>
          <w:szCs w:val="22"/>
          <w:lang w:val="pl-PL"/>
        </w:rPr>
        <w:t xml:space="preserve"> Form (KDQOL-SF™)</w:t>
      </w:r>
      <w:r w:rsidR="00682F2C" w:rsidRPr="00682F2C">
        <w:rPr>
          <w:rStyle w:val="Odwoanieprzypisudolnego"/>
          <w:rFonts w:eastAsia="Calibri"/>
          <w:sz w:val="22"/>
          <w:szCs w:val="22"/>
          <w:lang w:val="pl-PL"/>
        </w:rPr>
        <w:footnoteReference w:id="68"/>
      </w:r>
      <w:r w:rsidR="005D5FE7">
        <w:rPr>
          <w:rFonts w:eastAsia="Calibri"/>
          <w:sz w:val="22"/>
          <w:szCs w:val="22"/>
          <w:lang w:val="pl-PL"/>
        </w:rPr>
        <w:t xml:space="preserve"> lub za pomocą innego narzędzia, które będzie weryfikować ten parametr.</w:t>
      </w:r>
    </w:p>
    <w:p w14:paraId="7183286D" w14:textId="77777777" w:rsidR="00477F06" w:rsidRDefault="00477F06" w:rsidP="000D2E46">
      <w:pPr>
        <w:pStyle w:val="EYHeading3"/>
        <w:rPr>
          <w:lang w:val="pl-PL"/>
        </w:rPr>
      </w:pPr>
      <w:bookmarkStart w:id="109" w:name="_Toc477547891"/>
      <w:bookmarkStart w:id="110" w:name="_Toc477550134"/>
      <w:bookmarkStart w:id="111" w:name="_Toc477551039"/>
      <w:bookmarkStart w:id="112" w:name="_Toc477551199"/>
      <w:bookmarkStart w:id="113" w:name="_Toc477551353"/>
      <w:bookmarkStart w:id="114" w:name="_Toc477551491"/>
      <w:bookmarkStart w:id="115" w:name="_Toc477553511"/>
      <w:bookmarkStart w:id="116" w:name="_Toc477869001"/>
      <w:bookmarkStart w:id="117" w:name="_Toc477900950"/>
      <w:bookmarkStart w:id="118" w:name="_Toc477950223"/>
      <w:bookmarkStart w:id="119" w:name="_Toc477951203"/>
      <w:bookmarkStart w:id="120" w:name="_Toc477951341"/>
      <w:bookmarkStart w:id="121" w:name="_Toc477951479"/>
      <w:bookmarkStart w:id="122" w:name="_Toc486537939"/>
      <w:bookmarkEnd w:id="109"/>
      <w:bookmarkEnd w:id="110"/>
      <w:bookmarkEnd w:id="111"/>
      <w:bookmarkEnd w:id="112"/>
      <w:bookmarkEnd w:id="113"/>
      <w:bookmarkEnd w:id="114"/>
      <w:bookmarkEnd w:id="115"/>
      <w:bookmarkEnd w:id="116"/>
      <w:bookmarkEnd w:id="117"/>
      <w:bookmarkEnd w:id="118"/>
      <w:bookmarkEnd w:id="119"/>
      <w:bookmarkEnd w:id="120"/>
      <w:bookmarkEnd w:id="121"/>
      <w:r w:rsidRPr="00344613">
        <w:rPr>
          <w:lang w:val="pl-PL"/>
        </w:rPr>
        <w:t xml:space="preserve">Proponowany model opieki nad pacjentem w zaawansowanym stadium </w:t>
      </w:r>
      <w:proofErr w:type="spellStart"/>
      <w:r w:rsidRPr="00344613">
        <w:rPr>
          <w:lang w:val="pl-PL"/>
        </w:rPr>
        <w:t>PChN</w:t>
      </w:r>
      <w:proofErr w:type="spellEnd"/>
      <w:r w:rsidRPr="00344613">
        <w:rPr>
          <w:lang w:val="pl-PL"/>
        </w:rPr>
        <w:t xml:space="preserve"> – pacjent </w:t>
      </w:r>
      <w:r>
        <w:rPr>
          <w:lang w:val="pl-PL"/>
        </w:rPr>
        <w:t>przed dializą</w:t>
      </w:r>
      <w:bookmarkEnd w:id="122"/>
    </w:p>
    <w:p w14:paraId="4FB2CD51" w14:textId="79C81715" w:rsidR="00B22BAB" w:rsidRDefault="000F69EA" w:rsidP="000D2E46">
      <w:pPr>
        <w:rPr>
          <w:rFonts w:eastAsia="Calibri"/>
          <w:color w:val="000000" w:themeColor="text1"/>
          <w:lang w:val="pl-PL"/>
        </w:rPr>
      </w:pPr>
      <w:r w:rsidRPr="004E62AC">
        <w:rPr>
          <w:rFonts w:eastAsia="Calibri"/>
          <w:lang w:val="pl-PL"/>
        </w:rPr>
        <w:t xml:space="preserve">Opieka koordynowana nad pacjentem </w:t>
      </w:r>
      <w:r w:rsidR="004536A0">
        <w:rPr>
          <w:rFonts w:eastAsia="Calibri"/>
          <w:lang w:val="pl-PL"/>
        </w:rPr>
        <w:t xml:space="preserve">w zaawansowanym stadium </w:t>
      </w:r>
      <w:proofErr w:type="spellStart"/>
      <w:r w:rsidR="004536A0">
        <w:rPr>
          <w:rFonts w:eastAsia="Calibri"/>
          <w:lang w:val="pl-PL"/>
        </w:rPr>
        <w:t>PChN</w:t>
      </w:r>
      <w:proofErr w:type="spellEnd"/>
      <w:r w:rsidR="004536A0">
        <w:rPr>
          <w:rFonts w:eastAsia="Calibri"/>
          <w:lang w:val="pl-PL"/>
        </w:rPr>
        <w:t xml:space="preserve"> </w:t>
      </w:r>
      <w:r w:rsidR="00B159FD">
        <w:rPr>
          <w:rFonts w:eastAsia="Calibri"/>
          <w:lang w:val="pl-PL"/>
        </w:rPr>
        <w:t>powinna</w:t>
      </w:r>
      <w:r w:rsidR="00B159FD" w:rsidRPr="004E62AC">
        <w:rPr>
          <w:rFonts w:eastAsia="Calibri"/>
          <w:lang w:val="pl-PL"/>
        </w:rPr>
        <w:t xml:space="preserve"> </w:t>
      </w:r>
      <w:r w:rsidRPr="004E62AC">
        <w:rPr>
          <w:rFonts w:eastAsia="Calibri"/>
          <w:lang w:val="pl-PL"/>
        </w:rPr>
        <w:t xml:space="preserve">zostać rozszerzona o populację </w:t>
      </w:r>
      <w:r w:rsidR="00B22BAB">
        <w:rPr>
          <w:rFonts w:eastAsia="Calibri"/>
          <w:lang w:val="pl-PL"/>
        </w:rPr>
        <w:t xml:space="preserve">chorych w okresie </w:t>
      </w:r>
      <w:proofErr w:type="spellStart"/>
      <w:r w:rsidR="00B22BAB">
        <w:rPr>
          <w:rFonts w:eastAsia="Calibri"/>
          <w:lang w:val="pl-PL"/>
        </w:rPr>
        <w:t>przeddializacyjnym</w:t>
      </w:r>
      <w:proofErr w:type="spellEnd"/>
      <w:r w:rsidR="006314E5" w:rsidRPr="006314E5">
        <w:rPr>
          <w:rStyle w:val="Odwoanieprzypisudolnego"/>
          <w:rFonts w:eastAsia="Calibri"/>
          <w:sz w:val="22"/>
          <w:szCs w:val="22"/>
          <w:lang w:val="pl-PL"/>
        </w:rPr>
        <w:footnoteReference w:id="69"/>
      </w:r>
      <w:r w:rsidRPr="006314E5">
        <w:rPr>
          <w:rFonts w:eastAsia="Calibri"/>
          <w:szCs w:val="22"/>
          <w:lang w:val="pl-PL"/>
        </w:rPr>
        <w:t xml:space="preserve">. </w:t>
      </w:r>
      <w:r w:rsidR="005D5FE7">
        <w:rPr>
          <w:rFonts w:eastAsia="Calibri"/>
          <w:szCs w:val="22"/>
          <w:lang w:val="pl-PL"/>
        </w:rPr>
        <w:t xml:space="preserve">Objęcie opieką koordynowaną pacjentów na wcześniejszym etapie choroby, pozwoli na osiąganie lepszych wyników leczenia populacji np. poprzez opóźnianie momentu rozpoczęcia kosztownej dializoterapii. </w:t>
      </w:r>
      <w:r w:rsidR="004536A0">
        <w:rPr>
          <w:rFonts w:eastAsia="Calibri"/>
          <w:lang w:val="pl-PL"/>
        </w:rPr>
        <w:t>Punktem krytycznym jest</w:t>
      </w:r>
      <w:r w:rsidR="00DC708E">
        <w:rPr>
          <w:rFonts w:eastAsia="Calibri"/>
          <w:lang w:val="pl-PL"/>
        </w:rPr>
        <w:t xml:space="preserve"> moment </w:t>
      </w:r>
      <w:r w:rsidR="004536A0">
        <w:rPr>
          <w:rFonts w:eastAsia="Calibri"/>
          <w:lang w:val="pl-PL"/>
        </w:rPr>
        <w:t xml:space="preserve">przejścia pacjenta </w:t>
      </w:r>
      <w:r w:rsidR="00DC708E">
        <w:rPr>
          <w:rFonts w:eastAsia="Calibri"/>
          <w:lang w:val="pl-PL"/>
        </w:rPr>
        <w:t xml:space="preserve">pod opiekę jednostki koordynującej. </w:t>
      </w:r>
      <w:r w:rsidR="00427CFA">
        <w:rPr>
          <w:rFonts w:eastAsia="Calibri"/>
          <w:lang w:val="pl-PL"/>
        </w:rPr>
        <w:t xml:space="preserve">Zastosowanie </w:t>
      </w:r>
      <w:r w:rsidR="00864286">
        <w:rPr>
          <w:rFonts w:eastAsia="Calibri"/>
          <w:lang w:val="pl-PL"/>
        </w:rPr>
        <w:t xml:space="preserve">wskaźnika </w:t>
      </w:r>
      <w:proofErr w:type="spellStart"/>
      <w:r w:rsidR="00864286">
        <w:rPr>
          <w:rFonts w:eastAsia="Calibri"/>
          <w:lang w:val="pl-PL"/>
        </w:rPr>
        <w:t>eGFR</w:t>
      </w:r>
      <w:proofErr w:type="spellEnd"/>
      <w:r w:rsidR="00864286">
        <w:rPr>
          <w:rFonts w:eastAsia="Calibri"/>
          <w:lang w:val="pl-PL"/>
        </w:rPr>
        <w:t xml:space="preserve"> </w:t>
      </w:r>
      <w:r w:rsidR="004536A0">
        <w:rPr>
          <w:rFonts w:eastAsia="Calibri"/>
          <w:lang w:val="pl-PL"/>
        </w:rPr>
        <w:t xml:space="preserve">do określenia momentu przejścia pacjenta pod opiekę jednostki koordynującej </w:t>
      </w:r>
      <w:r w:rsidR="00864286">
        <w:rPr>
          <w:rFonts w:eastAsia="Calibri"/>
          <w:lang w:val="pl-PL"/>
        </w:rPr>
        <w:t>wydaje się</w:t>
      </w:r>
      <w:r w:rsidR="004536A0">
        <w:rPr>
          <w:rFonts w:eastAsia="Calibri"/>
          <w:lang w:val="pl-PL"/>
        </w:rPr>
        <w:t xml:space="preserve"> niewy</w:t>
      </w:r>
      <w:r w:rsidR="00CD2203">
        <w:rPr>
          <w:rFonts w:eastAsia="Calibri"/>
          <w:lang w:val="pl-PL"/>
        </w:rPr>
        <w:t>s</w:t>
      </w:r>
      <w:r w:rsidR="004536A0">
        <w:rPr>
          <w:rFonts w:eastAsia="Calibri"/>
          <w:lang w:val="pl-PL"/>
        </w:rPr>
        <w:t>tarczające</w:t>
      </w:r>
      <w:r w:rsidR="00864286">
        <w:rPr>
          <w:rFonts w:eastAsia="Calibri"/>
          <w:lang w:val="pl-PL"/>
        </w:rPr>
        <w:t>. W praktyce klinicznej najprawdopodobniej</w:t>
      </w:r>
      <w:r w:rsidR="00427CFA">
        <w:rPr>
          <w:rFonts w:eastAsia="Calibri"/>
          <w:lang w:val="pl-PL"/>
        </w:rPr>
        <w:t xml:space="preserve"> pojawi</w:t>
      </w:r>
      <w:r w:rsidR="00D3261C">
        <w:rPr>
          <w:rFonts w:eastAsia="Calibri"/>
          <w:lang w:val="pl-PL"/>
        </w:rPr>
        <w:t>łby</w:t>
      </w:r>
      <w:r w:rsidR="00427CFA">
        <w:rPr>
          <w:rFonts w:eastAsia="Calibri"/>
          <w:lang w:val="pl-PL"/>
        </w:rPr>
        <w:t xml:space="preserve"> się szereg przypadków</w:t>
      </w:r>
      <w:r w:rsidR="004536A0">
        <w:rPr>
          <w:rFonts w:eastAsia="Calibri"/>
          <w:lang w:val="pl-PL"/>
        </w:rPr>
        <w:t xml:space="preserve"> wymagających indywidualnego rozpatrzenia.</w:t>
      </w:r>
      <w:r w:rsidR="004536A0">
        <w:rPr>
          <w:rFonts w:eastAsia="Calibri"/>
          <w:color w:val="000000" w:themeColor="text1"/>
          <w:lang w:val="pl-PL"/>
        </w:rPr>
        <w:t xml:space="preserve"> </w:t>
      </w:r>
      <w:r w:rsidR="00864286" w:rsidRPr="00F71370">
        <w:rPr>
          <w:rFonts w:eastAsia="Calibri"/>
          <w:color w:val="000000" w:themeColor="text1"/>
          <w:lang w:val="pl-PL"/>
        </w:rPr>
        <w:t xml:space="preserve">Z tego względu proponuje się wykorzystanie siatki ryzyka wypracowanej przez KDIGO i uwzględnienie populacji pacjentów, którzy wymagają najbardziej intensywnego monitorowania. </w:t>
      </w:r>
    </w:p>
    <w:p w14:paraId="197B6FAC" w14:textId="742A1CDE" w:rsidR="00B22BAB" w:rsidRPr="00FD0F13" w:rsidRDefault="00B22BAB" w:rsidP="000D2E46">
      <w:pPr>
        <w:rPr>
          <w:rFonts w:eastAsia="Calibri"/>
          <w:color w:val="000000" w:themeColor="text1"/>
          <w:lang w:val="pl-PL"/>
        </w:rPr>
      </w:pPr>
      <w:r w:rsidRPr="00FD0F13">
        <w:rPr>
          <w:rFonts w:eastAsia="Calibri"/>
          <w:color w:val="000000" w:themeColor="text1"/>
          <w:lang w:val="pl-PL"/>
        </w:rPr>
        <w:t>W dalszych analizach rozważano t</w:t>
      </w:r>
      <w:r w:rsidR="0043616A" w:rsidRPr="00FD0F13">
        <w:rPr>
          <w:rFonts w:eastAsia="Calibri"/>
          <w:color w:val="000000" w:themeColor="text1"/>
          <w:lang w:val="pl-PL"/>
        </w:rPr>
        <w:t>r</w:t>
      </w:r>
      <w:r w:rsidRPr="008C59C5">
        <w:rPr>
          <w:rFonts w:eastAsia="Calibri"/>
          <w:color w:val="000000" w:themeColor="text1"/>
          <w:lang w:val="pl-PL"/>
        </w:rPr>
        <w:t xml:space="preserve">zy </w:t>
      </w:r>
      <w:r w:rsidR="00E46B14">
        <w:rPr>
          <w:rFonts w:eastAsia="Calibri"/>
          <w:color w:val="000000" w:themeColor="text1"/>
          <w:lang w:val="pl-PL"/>
        </w:rPr>
        <w:t xml:space="preserve">warianty </w:t>
      </w:r>
      <w:r w:rsidR="00235578">
        <w:rPr>
          <w:rFonts w:eastAsia="Calibri"/>
          <w:color w:val="000000" w:themeColor="text1"/>
          <w:lang w:val="pl-PL"/>
        </w:rPr>
        <w:t>wielkości populacji przed dializą</w:t>
      </w:r>
      <w:r w:rsidRPr="00FD0F13">
        <w:rPr>
          <w:rFonts w:eastAsia="Calibri"/>
          <w:color w:val="000000" w:themeColor="text1"/>
          <w:lang w:val="pl-PL"/>
        </w:rPr>
        <w:t>:</w:t>
      </w:r>
    </w:p>
    <w:p w14:paraId="2F77EBC2" w14:textId="2B0A8D20" w:rsidR="00B22BAB" w:rsidRPr="00FD0F13" w:rsidRDefault="00E46B14" w:rsidP="00060165">
      <w:pPr>
        <w:pStyle w:val="EYBulletedList1"/>
        <w:numPr>
          <w:ilvl w:val="0"/>
          <w:numId w:val="11"/>
        </w:numPr>
        <w:ind w:left="289" w:hanging="289"/>
        <w:jc w:val="both"/>
        <w:rPr>
          <w:rFonts w:eastAsia="Calibri"/>
          <w:lang w:val="pl-PL"/>
        </w:rPr>
      </w:pPr>
      <w:r>
        <w:rPr>
          <w:rFonts w:eastAsia="Calibri"/>
          <w:sz w:val="22"/>
          <w:lang w:val="pl-PL"/>
        </w:rPr>
        <w:lastRenderedPageBreak/>
        <w:t xml:space="preserve">wariant </w:t>
      </w:r>
      <w:r w:rsidR="00B22BAB" w:rsidRPr="00060165">
        <w:rPr>
          <w:rFonts w:eastAsia="Calibri"/>
          <w:sz w:val="22"/>
          <w:lang w:val="pl-PL"/>
        </w:rPr>
        <w:t>1</w:t>
      </w:r>
      <w:r w:rsidR="0043616A" w:rsidRPr="00060165">
        <w:rPr>
          <w:rFonts w:eastAsia="Calibri"/>
          <w:sz w:val="22"/>
          <w:lang w:val="pl-PL"/>
        </w:rPr>
        <w:t xml:space="preserve"> obejmuje pacjentów z grupy </w:t>
      </w:r>
      <w:r w:rsidR="0011331F" w:rsidRPr="00060165">
        <w:rPr>
          <w:rFonts w:eastAsia="Calibri"/>
          <w:sz w:val="22"/>
          <w:lang w:val="pl-PL"/>
        </w:rPr>
        <w:t>CKD 3b</w:t>
      </w:r>
      <w:r w:rsidR="0043616A" w:rsidRPr="00060165">
        <w:rPr>
          <w:rFonts w:eastAsia="Calibri"/>
          <w:sz w:val="22"/>
          <w:lang w:val="pl-PL"/>
        </w:rPr>
        <w:t>,</w:t>
      </w:r>
      <w:r w:rsidR="0011331F" w:rsidRPr="00060165">
        <w:rPr>
          <w:rFonts w:eastAsia="Calibri"/>
          <w:sz w:val="22"/>
          <w:lang w:val="pl-PL"/>
        </w:rPr>
        <w:t xml:space="preserve"> CDK4 i CKD 5</w:t>
      </w:r>
      <w:r w:rsidR="0043616A" w:rsidRPr="00060165">
        <w:rPr>
          <w:rFonts w:eastAsia="Calibri"/>
          <w:sz w:val="22"/>
          <w:lang w:val="pl-PL"/>
        </w:rPr>
        <w:t xml:space="preserve">. W tabeli </w:t>
      </w:r>
      <w:r w:rsidR="001E35A3">
        <w:rPr>
          <w:rFonts w:eastAsia="Calibri"/>
          <w:sz w:val="22"/>
          <w:lang w:val="pl-PL"/>
        </w:rPr>
        <w:t>1</w:t>
      </w:r>
      <w:r w:rsidR="004728B7">
        <w:rPr>
          <w:rFonts w:eastAsia="Calibri"/>
          <w:sz w:val="22"/>
          <w:lang w:val="pl-PL"/>
        </w:rPr>
        <w:t>8</w:t>
      </w:r>
      <w:r w:rsidR="0043616A" w:rsidRPr="00060165">
        <w:rPr>
          <w:rFonts w:eastAsia="Calibri"/>
          <w:sz w:val="22"/>
          <w:lang w:val="pl-PL"/>
        </w:rPr>
        <w:t xml:space="preserve"> oznaczono populację pacjentów, która mogłaby zostać objęta opieką jednostki koordynującej zieloną ramką. Szacuje się, że populacja tych pacjentów </w:t>
      </w:r>
      <w:r w:rsidR="009968B1">
        <w:rPr>
          <w:rFonts w:eastAsia="Calibri"/>
          <w:sz w:val="22"/>
          <w:lang w:val="pl-PL"/>
        </w:rPr>
        <w:t xml:space="preserve">w okresie </w:t>
      </w:r>
      <w:proofErr w:type="spellStart"/>
      <w:r w:rsidR="009968B1">
        <w:rPr>
          <w:rFonts w:eastAsia="Calibri"/>
          <w:sz w:val="22"/>
          <w:lang w:val="pl-PL"/>
        </w:rPr>
        <w:t>predializy</w:t>
      </w:r>
      <w:proofErr w:type="spellEnd"/>
      <w:r w:rsidR="009968B1" w:rsidRPr="00060165">
        <w:rPr>
          <w:rFonts w:eastAsia="Calibri"/>
          <w:sz w:val="22"/>
          <w:lang w:val="pl-PL"/>
        </w:rPr>
        <w:t xml:space="preserve"> </w:t>
      </w:r>
      <w:r w:rsidR="0043616A" w:rsidRPr="00060165">
        <w:rPr>
          <w:rFonts w:eastAsia="Calibri"/>
          <w:sz w:val="22"/>
          <w:lang w:val="pl-PL"/>
        </w:rPr>
        <w:t xml:space="preserve">wynosi ok. </w:t>
      </w:r>
      <w:r w:rsidR="0011331F" w:rsidRPr="00060165">
        <w:rPr>
          <w:rFonts w:eastAsia="Calibri"/>
          <w:sz w:val="22"/>
          <w:lang w:val="pl-PL"/>
        </w:rPr>
        <w:t>730</w:t>
      </w:r>
      <w:r w:rsidR="0043616A" w:rsidRPr="00060165">
        <w:rPr>
          <w:rFonts w:eastAsia="Calibri"/>
          <w:sz w:val="22"/>
          <w:lang w:val="pl-PL"/>
        </w:rPr>
        <w:t xml:space="preserve"> tys</w:t>
      </w:r>
      <w:r w:rsidR="0011331F" w:rsidRPr="00060165">
        <w:rPr>
          <w:rFonts w:eastAsia="Calibri"/>
          <w:sz w:val="22"/>
          <w:lang w:val="pl-PL"/>
        </w:rPr>
        <w:t>ięcy</w:t>
      </w:r>
    </w:p>
    <w:p w14:paraId="269C35E3" w14:textId="4ED4BDDF" w:rsidR="00B22BAB" w:rsidRPr="00FD0F13" w:rsidRDefault="00E46B14" w:rsidP="00060165">
      <w:pPr>
        <w:pStyle w:val="EYBulletedList1"/>
        <w:numPr>
          <w:ilvl w:val="0"/>
          <w:numId w:val="11"/>
        </w:numPr>
        <w:ind w:left="289" w:hanging="289"/>
        <w:jc w:val="both"/>
        <w:rPr>
          <w:rFonts w:eastAsia="Calibri"/>
          <w:lang w:val="pl-PL"/>
        </w:rPr>
      </w:pPr>
      <w:r>
        <w:rPr>
          <w:rFonts w:eastAsia="Calibri"/>
          <w:sz w:val="22"/>
          <w:lang w:val="pl-PL"/>
        </w:rPr>
        <w:t>wariant</w:t>
      </w:r>
      <w:r w:rsidRPr="00060165">
        <w:rPr>
          <w:rFonts w:eastAsia="Calibri"/>
          <w:sz w:val="22"/>
          <w:lang w:val="pl-PL"/>
        </w:rPr>
        <w:t xml:space="preserve"> </w:t>
      </w:r>
      <w:r w:rsidR="00B22BAB" w:rsidRPr="00060165">
        <w:rPr>
          <w:rFonts w:eastAsia="Calibri"/>
          <w:sz w:val="22"/>
          <w:lang w:val="pl-PL"/>
        </w:rPr>
        <w:t>2</w:t>
      </w:r>
      <w:r w:rsidR="00B22BAB" w:rsidRPr="000C3EA2">
        <w:rPr>
          <w:noProof/>
          <w:kern w:val="0"/>
          <w:sz w:val="22"/>
          <w:szCs w:val="20"/>
          <w:lang w:val="pl-PL" w:eastAsia="pl-PL"/>
        </w:rPr>
        <w:t xml:space="preserve"> </w:t>
      </w:r>
      <w:r w:rsidR="0043616A" w:rsidRPr="000C3EA2">
        <w:rPr>
          <w:noProof/>
          <w:kern w:val="0"/>
          <w:sz w:val="22"/>
          <w:szCs w:val="20"/>
          <w:lang w:val="pl-PL" w:eastAsia="pl-PL"/>
        </w:rPr>
        <w:t xml:space="preserve">- </w:t>
      </w:r>
      <w:r w:rsidR="0043616A" w:rsidRPr="00060165">
        <w:rPr>
          <w:rFonts w:eastAsia="Calibri"/>
          <w:sz w:val="22"/>
          <w:lang w:val="pl-PL"/>
        </w:rPr>
        <w:t>obejmuje pacjentów z grupy</w:t>
      </w:r>
      <w:r w:rsidR="0011331F" w:rsidRPr="00060165">
        <w:rPr>
          <w:rFonts w:eastAsia="Calibri"/>
          <w:sz w:val="22"/>
          <w:lang w:val="pl-PL"/>
        </w:rPr>
        <w:t xml:space="preserve"> CKD 4</w:t>
      </w:r>
      <w:r w:rsidR="0043616A" w:rsidRPr="00060165">
        <w:rPr>
          <w:rFonts w:eastAsia="Calibri"/>
          <w:sz w:val="22"/>
          <w:lang w:val="pl-PL"/>
        </w:rPr>
        <w:t xml:space="preserve"> oraz pacjentów z grup</w:t>
      </w:r>
      <w:r w:rsidR="0011331F" w:rsidRPr="00060165">
        <w:rPr>
          <w:rFonts w:eastAsia="Calibri"/>
          <w:sz w:val="22"/>
          <w:lang w:val="pl-PL"/>
        </w:rPr>
        <w:t>y CKD 5</w:t>
      </w:r>
      <w:r w:rsidR="0043616A" w:rsidRPr="00060165">
        <w:rPr>
          <w:rFonts w:eastAsia="Calibri"/>
          <w:sz w:val="22"/>
          <w:lang w:val="pl-PL"/>
        </w:rPr>
        <w:t xml:space="preserve">. W tabeli </w:t>
      </w:r>
      <w:r w:rsidR="001E35A3">
        <w:rPr>
          <w:rFonts w:eastAsia="Calibri"/>
          <w:sz w:val="22"/>
          <w:lang w:val="pl-PL"/>
        </w:rPr>
        <w:t>1</w:t>
      </w:r>
      <w:r w:rsidR="004728B7">
        <w:rPr>
          <w:rFonts w:eastAsia="Calibri"/>
          <w:sz w:val="22"/>
          <w:lang w:val="pl-PL"/>
        </w:rPr>
        <w:t>8</w:t>
      </w:r>
      <w:r w:rsidR="0043616A" w:rsidRPr="00060165">
        <w:rPr>
          <w:rFonts w:eastAsia="Calibri"/>
          <w:sz w:val="22"/>
          <w:lang w:val="pl-PL"/>
        </w:rPr>
        <w:t xml:space="preserve"> oznaczono populację pacjentów, która mogłaby zostać objęta opieką jednostki koordynującej niebieską ramką. Szacuje się, że populacja tych pacjentów </w:t>
      </w:r>
      <w:r w:rsidR="009968B1">
        <w:rPr>
          <w:rFonts w:eastAsia="Calibri"/>
          <w:sz w:val="22"/>
          <w:lang w:val="pl-PL"/>
        </w:rPr>
        <w:t xml:space="preserve">w okresie </w:t>
      </w:r>
      <w:proofErr w:type="spellStart"/>
      <w:r w:rsidR="009968B1">
        <w:rPr>
          <w:rFonts w:eastAsia="Calibri"/>
          <w:sz w:val="22"/>
          <w:lang w:val="pl-PL"/>
        </w:rPr>
        <w:t>predializy</w:t>
      </w:r>
      <w:proofErr w:type="spellEnd"/>
      <w:r w:rsidR="009968B1" w:rsidRPr="00060165">
        <w:rPr>
          <w:rFonts w:eastAsia="Calibri"/>
          <w:sz w:val="22"/>
          <w:lang w:val="pl-PL"/>
        </w:rPr>
        <w:t xml:space="preserve"> </w:t>
      </w:r>
      <w:r w:rsidR="0043616A" w:rsidRPr="00060165">
        <w:rPr>
          <w:rFonts w:eastAsia="Calibri"/>
          <w:sz w:val="22"/>
          <w:lang w:val="pl-PL"/>
        </w:rPr>
        <w:t>wynosi ok. 115</w:t>
      </w:r>
      <w:r w:rsidR="0011331F" w:rsidRPr="00060165">
        <w:rPr>
          <w:rFonts w:eastAsia="Calibri"/>
          <w:sz w:val="22"/>
          <w:lang w:val="pl-PL"/>
        </w:rPr>
        <w:t xml:space="preserve"> tysięcy chorych</w:t>
      </w:r>
    </w:p>
    <w:p w14:paraId="51CC1916" w14:textId="5284E529" w:rsidR="00864286" w:rsidRPr="00060165" w:rsidRDefault="00E46B14" w:rsidP="00060165">
      <w:pPr>
        <w:pStyle w:val="EYBulletedList1"/>
        <w:numPr>
          <w:ilvl w:val="0"/>
          <w:numId w:val="11"/>
        </w:numPr>
        <w:ind w:left="289" w:hanging="289"/>
        <w:jc w:val="both"/>
        <w:rPr>
          <w:rFonts w:eastAsia="Calibri"/>
          <w:lang w:val="pl-PL"/>
        </w:rPr>
      </w:pPr>
      <w:r>
        <w:rPr>
          <w:rFonts w:eastAsia="Calibri"/>
          <w:sz w:val="22"/>
          <w:lang w:val="pl-PL"/>
        </w:rPr>
        <w:t>wariant</w:t>
      </w:r>
      <w:r w:rsidRPr="00060165">
        <w:rPr>
          <w:rFonts w:eastAsia="Calibri"/>
          <w:sz w:val="22"/>
          <w:lang w:val="pl-PL"/>
        </w:rPr>
        <w:t xml:space="preserve"> </w:t>
      </w:r>
      <w:r w:rsidR="00B22BAB" w:rsidRPr="00060165">
        <w:rPr>
          <w:rFonts w:eastAsia="Calibri"/>
          <w:sz w:val="22"/>
          <w:lang w:val="pl-PL"/>
        </w:rPr>
        <w:t>3 - obejmuje</w:t>
      </w:r>
      <w:r w:rsidR="00864286" w:rsidRPr="00060165">
        <w:rPr>
          <w:rFonts w:eastAsia="Calibri"/>
          <w:sz w:val="22"/>
          <w:lang w:val="pl-PL"/>
        </w:rPr>
        <w:t xml:space="preserve"> pacjentów z grupy </w:t>
      </w:r>
      <w:r w:rsidR="0011331F" w:rsidRPr="00060165">
        <w:rPr>
          <w:rFonts w:eastAsia="Calibri"/>
          <w:sz w:val="22"/>
          <w:lang w:val="pl-PL"/>
        </w:rPr>
        <w:t>CKD</w:t>
      </w:r>
      <w:r w:rsidR="005D5FE7">
        <w:rPr>
          <w:rFonts w:eastAsia="Calibri"/>
          <w:sz w:val="22"/>
          <w:lang w:val="pl-PL"/>
        </w:rPr>
        <w:t xml:space="preserve"> </w:t>
      </w:r>
      <w:r w:rsidR="0011331F" w:rsidRPr="00060165">
        <w:rPr>
          <w:rFonts w:eastAsia="Calibri"/>
          <w:sz w:val="22"/>
          <w:lang w:val="pl-PL"/>
        </w:rPr>
        <w:t>4 A3</w:t>
      </w:r>
      <w:r w:rsidR="00864286" w:rsidRPr="00060165">
        <w:rPr>
          <w:rFonts w:eastAsia="Calibri"/>
          <w:sz w:val="22"/>
          <w:lang w:val="pl-PL"/>
        </w:rPr>
        <w:t xml:space="preserve"> oraz pacjentów z grupy </w:t>
      </w:r>
      <w:r w:rsidR="0011331F" w:rsidRPr="00060165">
        <w:rPr>
          <w:rFonts w:eastAsia="Calibri"/>
          <w:sz w:val="22"/>
          <w:lang w:val="pl-PL"/>
        </w:rPr>
        <w:t>CKD 5</w:t>
      </w:r>
      <w:r w:rsidR="00EA04D9" w:rsidRPr="00060165">
        <w:rPr>
          <w:rFonts w:eastAsia="Calibri"/>
          <w:sz w:val="22"/>
          <w:lang w:val="pl-PL"/>
        </w:rPr>
        <w:t>. W</w:t>
      </w:r>
      <w:r w:rsidR="00864286" w:rsidRPr="00060165">
        <w:rPr>
          <w:rFonts w:eastAsia="Calibri"/>
          <w:sz w:val="22"/>
          <w:lang w:val="pl-PL"/>
        </w:rPr>
        <w:t xml:space="preserve"> tabeli </w:t>
      </w:r>
      <w:r w:rsidR="001E35A3">
        <w:rPr>
          <w:rFonts w:eastAsia="Calibri"/>
          <w:sz w:val="22"/>
          <w:lang w:val="pl-PL"/>
        </w:rPr>
        <w:t>1</w:t>
      </w:r>
      <w:r w:rsidR="004728B7">
        <w:rPr>
          <w:rFonts w:eastAsia="Calibri"/>
          <w:sz w:val="22"/>
          <w:lang w:val="pl-PL"/>
        </w:rPr>
        <w:t>8</w:t>
      </w:r>
      <w:r w:rsidR="00864286" w:rsidRPr="00060165">
        <w:rPr>
          <w:rFonts w:eastAsia="Calibri"/>
          <w:sz w:val="22"/>
          <w:lang w:val="pl-PL"/>
        </w:rPr>
        <w:t xml:space="preserve"> oznaczono populację pacjentów, która mogłaby zostać objęta opieką jednostki koordynującej</w:t>
      </w:r>
      <w:r w:rsidR="00B22BAB" w:rsidRPr="00060165">
        <w:rPr>
          <w:rFonts w:eastAsia="Calibri"/>
          <w:sz w:val="22"/>
          <w:lang w:val="pl-PL"/>
        </w:rPr>
        <w:t xml:space="preserve"> kolorem żółtym</w:t>
      </w:r>
      <w:r w:rsidR="00864286" w:rsidRPr="00060165">
        <w:rPr>
          <w:rFonts w:eastAsia="Calibri"/>
          <w:sz w:val="22"/>
          <w:lang w:val="pl-PL"/>
        </w:rPr>
        <w:t xml:space="preserve">. Szacuje się, że populacja tych pacjentów </w:t>
      </w:r>
      <w:r w:rsidR="009968B1">
        <w:rPr>
          <w:rFonts w:eastAsia="Calibri"/>
          <w:sz w:val="22"/>
          <w:lang w:val="pl-PL"/>
        </w:rPr>
        <w:t xml:space="preserve">w okresie </w:t>
      </w:r>
      <w:proofErr w:type="spellStart"/>
      <w:r w:rsidR="009968B1">
        <w:rPr>
          <w:rFonts w:eastAsia="Calibri"/>
          <w:sz w:val="22"/>
          <w:lang w:val="pl-PL"/>
        </w:rPr>
        <w:t>predializy</w:t>
      </w:r>
      <w:proofErr w:type="spellEnd"/>
      <w:r w:rsidR="00864286" w:rsidRPr="00060165">
        <w:rPr>
          <w:rFonts w:eastAsia="Calibri"/>
          <w:sz w:val="22"/>
          <w:lang w:val="pl-PL"/>
        </w:rPr>
        <w:t xml:space="preserve"> </w:t>
      </w:r>
      <w:r w:rsidR="00EA04D9" w:rsidRPr="00060165">
        <w:rPr>
          <w:rFonts w:eastAsia="Calibri"/>
          <w:sz w:val="22"/>
          <w:lang w:val="pl-PL"/>
        </w:rPr>
        <w:t xml:space="preserve">wynosi </w:t>
      </w:r>
      <w:r w:rsidR="00864286" w:rsidRPr="00060165">
        <w:rPr>
          <w:rFonts w:eastAsia="Calibri"/>
          <w:sz w:val="22"/>
          <w:lang w:val="pl-PL"/>
        </w:rPr>
        <w:t>ok</w:t>
      </w:r>
      <w:r w:rsidR="00EA04D9" w:rsidRPr="00060165">
        <w:rPr>
          <w:rFonts w:eastAsia="Calibri"/>
          <w:sz w:val="22"/>
          <w:lang w:val="pl-PL"/>
        </w:rPr>
        <w:t>.</w:t>
      </w:r>
      <w:r w:rsidR="00864286" w:rsidRPr="00060165">
        <w:rPr>
          <w:rFonts w:eastAsia="Calibri"/>
          <w:sz w:val="22"/>
          <w:lang w:val="pl-PL"/>
        </w:rPr>
        <w:t xml:space="preserve"> </w:t>
      </w:r>
      <w:r w:rsidR="00C44661" w:rsidRPr="00060165">
        <w:rPr>
          <w:rFonts w:eastAsia="Calibri"/>
          <w:sz w:val="22"/>
          <w:lang w:val="pl-PL"/>
        </w:rPr>
        <w:t>6</w:t>
      </w:r>
      <w:r w:rsidR="0011331F" w:rsidRPr="00060165">
        <w:rPr>
          <w:rFonts w:eastAsia="Calibri"/>
          <w:sz w:val="22"/>
          <w:lang w:val="pl-PL"/>
        </w:rPr>
        <w:t>1 tysięcy chorych</w:t>
      </w:r>
      <w:r w:rsidR="00864286" w:rsidRPr="00060165">
        <w:rPr>
          <w:rFonts w:eastAsia="Calibri"/>
          <w:sz w:val="22"/>
          <w:lang w:val="pl-PL"/>
        </w:rPr>
        <w:t>.</w:t>
      </w:r>
    </w:p>
    <w:p w14:paraId="1DEB2FBF" w14:textId="4F5824DE" w:rsidR="00DC708E" w:rsidRPr="00D720F3" w:rsidRDefault="00B22BAB" w:rsidP="00DC708E">
      <w:pPr>
        <w:pStyle w:val="Legenda"/>
        <w:keepNext/>
        <w:rPr>
          <w:b/>
          <w:i w:val="0"/>
          <w:color w:val="auto"/>
          <w:lang w:val="pl-PL"/>
        </w:rPr>
      </w:pPr>
      <w:bookmarkStart w:id="123" w:name="_Toc486537981"/>
      <w:r w:rsidRPr="00B22BAB">
        <w:rPr>
          <w:rFonts w:eastAsia="Calibri"/>
          <w:noProof/>
          <w:sz w:val="22"/>
          <w:lang w:val="pl-PL" w:eastAsia="pl-PL"/>
        </w:rPr>
        <mc:AlternateContent>
          <mc:Choice Requires="wps">
            <w:drawing>
              <wp:anchor distT="0" distB="0" distL="114300" distR="114300" simplePos="0" relativeHeight="251688960" behindDoc="0" locked="0" layoutInCell="1" allowOverlap="1" wp14:anchorId="27491E3E" wp14:editId="63795A86">
                <wp:simplePos x="0" y="0"/>
                <wp:positionH relativeFrom="column">
                  <wp:posOffset>2000250</wp:posOffset>
                </wp:positionH>
                <wp:positionV relativeFrom="paragraph">
                  <wp:posOffset>1315085</wp:posOffset>
                </wp:positionV>
                <wp:extent cx="3771900" cy="724535"/>
                <wp:effectExtent l="19050" t="19050" r="19050" b="18415"/>
                <wp:wrapNone/>
                <wp:docPr id="10" name="Rectangle 1"/>
                <wp:cNvGraphicFramePr/>
                <a:graphic xmlns:a="http://schemas.openxmlformats.org/drawingml/2006/main">
                  <a:graphicData uri="http://schemas.microsoft.com/office/word/2010/wordprocessingShape">
                    <wps:wsp>
                      <wps:cNvSpPr/>
                      <wps:spPr>
                        <a:xfrm>
                          <a:off x="0" y="0"/>
                          <a:ext cx="3771900" cy="724535"/>
                        </a:xfrm>
                        <a:prstGeom prst="rect">
                          <a:avLst/>
                        </a:prstGeom>
                        <a:noFill/>
                        <a:ln w="28575">
                          <a:solidFill>
                            <a:srgbClr val="2C973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BB12F" w14:textId="57D4FC14" w:rsidR="00AA6477" w:rsidRPr="00060165" w:rsidRDefault="00AA6477" w:rsidP="00060165">
                            <w:pPr>
                              <w:jc w:val="left"/>
                              <w:rPr>
                                <w:b/>
                                <w:color w:val="00B050"/>
                                <w:sz w:val="18"/>
                                <w:szCs w:val="18"/>
                                <w:vertAlign w:val="superscript"/>
                                <w:lang w:val="pl-P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91E3E" id="Rectangle 1" o:spid="_x0000_s1027" style="position:absolute;left:0;text-align:left;margin-left:157.5pt;margin-top:103.55pt;width:297pt;height:5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" filled="f" strokecolor="#2c973e" strokeweight="2.25pt">
                <v:textbox>
                  <w:txbxContent>
                    <w:p w14:paraId="696BB12F" w14:textId="57D4FC14" w:rsidR="00AA6477" w:rsidRPr="00060165" w:rsidRDefault="00AA6477" w:rsidP="00060165">
                      <w:pPr>
                        <w:jc w:val="left"/>
                        <w:rPr>
                          <w:b/>
                          <w:color w:val="00B050"/>
                          <w:sz w:val="18"/>
                          <w:szCs w:val="18"/>
                          <w:vertAlign w:val="superscript"/>
                          <w:lang w:val="pl-PL"/>
                        </w:rPr>
                      </w:pPr>
                    </w:p>
                  </w:txbxContent>
                </v:textbox>
              </v:rect>
            </w:pict>
          </mc:Fallback>
        </mc:AlternateContent>
      </w:r>
      <w:r w:rsidR="00DC708E" w:rsidRPr="00D720F3">
        <w:rPr>
          <w:b/>
          <w:i w:val="0"/>
          <w:color w:val="auto"/>
          <w:lang w:val="pl-PL"/>
        </w:rPr>
        <w:t xml:space="preserve">Tabela </w:t>
      </w:r>
      <w:r w:rsidR="00DC708E" w:rsidRPr="007B1162">
        <w:rPr>
          <w:b/>
          <w:i w:val="0"/>
          <w:color w:val="auto"/>
        </w:rPr>
        <w:fldChar w:fldCharType="begin"/>
      </w:r>
      <w:r w:rsidR="00DC708E" w:rsidRPr="00D720F3">
        <w:rPr>
          <w:b/>
          <w:i w:val="0"/>
          <w:color w:val="auto"/>
          <w:lang w:val="pl-PL"/>
        </w:rPr>
        <w:instrText xml:space="preserve"> SEQ Tabela \* ARABIC </w:instrText>
      </w:r>
      <w:r w:rsidR="00DC708E" w:rsidRPr="007B1162">
        <w:rPr>
          <w:b/>
          <w:i w:val="0"/>
          <w:color w:val="auto"/>
        </w:rPr>
        <w:fldChar w:fldCharType="separate"/>
      </w:r>
      <w:r w:rsidR="005C7285">
        <w:rPr>
          <w:b/>
          <w:i w:val="0"/>
          <w:noProof/>
          <w:color w:val="auto"/>
          <w:lang w:val="pl-PL"/>
        </w:rPr>
        <w:t>18</w:t>
      </w:r>
      <w:r w:rsidR="00DC708E" w:rsidRPr="007B1162">
        <w:rPr>
          <w:b/>
          <w:i w:val="0"/>
          <w:color w:val="auto"/>
        </w:rPr>
        <w:fldChar w:fldCharType="end"/>
      </w:r>
      <w:r w:rsidR="00DC708E" w:rsidRPr="00D720F3">
        <w:rPr>
          <w:b/>
          <w:i w:val="0"/>
          <w:color w:val="auto"/>
          <w:lang w:val="pl-PL"/>
        </w:rPr>
        <w:t xml:space="preserve"> </w:t>
      </w:r>
      <w:r w:rsidR="00427CFA">
        <w:rPr>
          <w:b/>
          <w:i w:val="0"/>
          <w:color w:val="auto"/>
          <w:lang w:val="pl-PL"/>
        </w:rPr>
        <w:t>Kryteria kwalifikacji do objęcia opieką przez jednostki koordynujące pacjentów przed dializą</w:t>
      </w:r>
      <w:bookmarkEnd w:id="123"/>
      <w:r w:rsidR="00427CFA">
        <w:rPr>
          <w:b/>
          <w:i w:val="0"/>
          <w:color w:val="auto"/>
          <w:lang w:val="pl-PL"/>
        </w:rPr>
        <w:t xml:space="preserve"> </w:t>
      </w:r>
      <w:r w:rsidR="00DC708E">
        <w:rPr>
          <w:b/>
          <w:i w:val="0"/>
          <w:color w:val="auto"/>
          <w:lang w:val="pl-PL"/>
        </w:rPr>
        <w:t xml:space="preserve"> </w:t>
      </w:r>
    </w:p>
    <w:tbl>
      <w:tblPr>
        <w:tblStyle w:val="Tabela-Siatka"/>
        <w:tblW w:w="9031" w:type="dxa"/>
        <w:tblBorders>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276"/>
        <w:gridCol w:w="1985"/>
        <w:gridCol w:w="1984"/>
        <w:gridCol w:w="1845"/>
        <w:gridCol w:w="1941"/>
      </w:tblGrid>
      <w:tr w:rsidR="00DC708E" w:rsidRPr="00182ABD" w14:paraId="432C6BC0" w14:textId="77777777" w:rsidTr="00C95ECF">
        <w:tc>
          <w:tcPr>
            <w:tcW w:w="3261" w:type="dxa"/>
            <w:gridSpan w:val="2"/>
            <w:vMerge w:val="restart"/>
            <w:shd w:val="clear" w:color="auto" w:fill="auto"/>
            <w:vAlign w:val="center"/>
          </w:tcPr>
          <w:p w14:paraId="62936230" w14:textId="77777777" w:rsidR="00DC708E" w:rsidRPr="00A821E4" w:rsidRDefault="00DC708E" w:rsidP="00C95ECF">
            <w:pPr>
              <w:spacing w:before="60" w:after="60" w:line="240" w:lineRule="auto"/>
              <w:jc w:val="left"/>
              <w:rPr>
                <w:rFonts w:eastAsia="Calibri"/>
                <w:b/>
                <w:sz w:val="18"/>
                <w:szCs w:val="18"/>
                <w:lang w:val="pl-PL"/>
              </w:rPr>
            </w:pPr>
          </w:p>
        </w:tc>
        <w:tc>
          <w:tcPr>
            <w:tcW w:w="5770" w:type="dxa"/>
            <w:gridSpan w:val="3"/>
            <w:shd w:val="clear" w:color="auto" w:fill="FFE600"/>
            <w:vAlign w:val="center"/>
          </w:tcPr>
          <w:p w14:paraId="4B2AC74B" w14:textId="77777777" w:rsidR="00DC708E" w:rsidRPr="00A821E4" w:rsidRDefault="00DC708E" w:rsidP="00C95ECF">
            <w:pPr>
              <w:spacing w:beforeLines="20" w:before="48" w:afterLines="20" w:after="48" w:line="240" w:lineRule="auto"/>
              <w:jc w:val="center"/>
              <w:rPr>
                <w:b/>
                <w:sz w:val="18"/>
                <w:szCs w:val="18"/>
                <w:lang w:val="pl-PL"/>
              </w:rPr>
            </w:pPr>
            <w:r w:rsidRPr="008C32D8">
              <w:rPr>
                <w:b/>
                <w:sz w:val="18"/>
                <w:szCs w:val="18"/>
                <w:lang w:val="pl-PL"/>
              </w:rPr>
              <w:t>Kategorie albuminurii</w:t>
            </w:r>
          </w:p>
        </w:tc>
      </w:tr>
      <w:tr w:rsidR="00DC708E" w:rsidRPr="0002448D" w14:paraId="61F6A24D" w14:textId="77777777" w:rsidTr="00C95ECF">
        <w:tc>
          <w:tcPr>
            <w:tcW w:w="3261" w:type="dxa"/>
            <w:gridSpan w:val="2"/>
            <w:vMerge/>
            <w:shd w:val="clear" w:color="auto" w:fill="auto"/>
            <w:vAlign w:val="center"/>
          </w:tcPr>
          <w:p w14:paraId="1A2E86FC" w14:textId="77777777" w:rsidR="00DC708E" w:rsidRDefault="00DC708E" w:rsidP="00C95ECF">
            <w:pPr>
              <w:spacing w:before="60" w:after="60" w:line="240" w:lineRule="auto"/>
              <w:jc w:val="center"/>
              <w:rPr>
                <w:rFonts w:eastAsia="Calibri"/>
                <w:sz w:val="18"/>
                <w:szCs w:val="18"/>
                <w:lang w:val="pl-PL"/>
              </w:rPr>
            </w:pPr>
          </w:p>
        </w:tc>
        <w:tc>
          <w:tcPr>
            <w:tcW w:w="1984" w:type="dxa"/>
            <w:tcBorders>
              <w:bottom w:val="single" w:sz="4" w:space="0" w:color="808080" w:themeColor="background1" w:themeShade="80"/>
            </w:tcBorders>
            <w:shd w:val="clear" w:color="auto" w:fill="auto"/>
            <w:vAlign w:val="center"/>
          </w:tcPr>
          <w:p w14:paraId="05FD2A0C" w14:textId="77777777" w:rsidR="00DC708E" w:rsidRPr="00930473" w:rsidRDefault="00DC708E" w:rsidP="00C95ECF">
            <w:pPr>
              <w:spacing w:beforeLines="20" w:before="48" w:afterLines="20" w:after="48" w:line="240" w:lineRule="auto"/>
              <w:jc w:val="center"/>
              <w:rPr>
                <w:b/>
                <w:sz w:val="18"/>
                <w:szCs w:val="18"/>
                <w:lang w:val="pl-PL"/>
              </w:rPr>
            </w:pPr>
            <w:r w:rsidRPr="00930473">
              <w:rPr>
                <w:b/>
                <w:sz w:val="18"/>
                <w:szCs w:val="18"/>
                <w:lang w:val="pl-PL"/>
              </w:rPr>
              <w:t>A1</w:t>
            </w:r>
          </w:p>
        </w:tc>
        <w:tc>
          <w:tcPr>
            <w:tcW w:w="1845" w:type="dxa"/>
            <w:tcBorders>
              <w:bottom w:val="single" w:sz="4" w:space="0" w:color="808080" w:themeColor="background1" w:themeShade="80"/>
            </w:tcBorders>
            <w:shd w:val="clear" w:color="auto" w:fill="auto"/>
            <w:vAlign w:val="center"/>
          </w:tcPr>
          <w:p w14:paraId="5C42C02F" w14:textId="77777777" w:rsidR="00DC708E" w:rsidRPr="00930473" w:rsidRDefault="00DC708E" w:rsidP="00C95ECF">
            <w:pPr>
              <w:spacing w:beforeLines="20" w:before="48" w:afterLines="20" w:after="48" w:line="240" w:lineRule="auto"/>
              <w:jc w:val="center"/>
              <w:rPr>
                <w:b/>
                <w:sz w:val="18"/>
                <w:szCs w:val="18"/>
                <w:lang w:val="pl-PL"/>
              </w:rPr>
            </w:pPr>
            <w:r w:rsidRPr="00930473">
              <w:rPr>
                <w:b/>
                <w:sz w:val="18"/>
                <w:szCs w:val="18"/>
                <w:lang w:val="pl-PL"/>
              </w:rPr>
              <w:t>A2</w:t>
            </w:r>
          </w:p>
        </w:tc>
        <w:tc>
          <w:tcPr>
            <w:tcW w:w="1941" w:type="dxa"/>
            <w:tcBorders>
              <w:bottom w:val="single" w:sz="4" w:space="0" w:color="808080" w:themeColor="background1" w:themeShade="80"/>
            </w:tcBorders>
            <w:shd w:val="clear" w:color="auto" w:fill="auto"/>
            <w:vAlign w:val="center"/>
          </w:tcPr>
          <w:p w14:paraId="07D3C343" w14:textId="77777777" w:rsidR="00DC708E" w:rsidRPr="00930473" w:rsidRDefault="00DC708E" w:rsidP="00C95ECF">
            <w:pPr>
              <w:spacing w:beforeLines="20" w:before="48" w:afterLines="20" w:after="48" w:line="240" w:lineRule="auto"/>
              <w:jc w:val="center"/>
              <w:rPr>
                <w:b/>
                <w:sz w:val="18"/>
                <w:szCs w:val="18"/>
                <w:lang w:val="pl-PL"/>
              </w:rPr>
            </w:pPr>
            <w:r w:rsidRPr="00930473">
              <w:rPr>
                <w:b/>
                <w:sz w:val="18"/>
                <w:szCs w:val="18"/>
                <w:lang w:val="pl-PL"/>
              </w:rPr>
              <w:t>A3</w:t>
            </w:r>
          </w:p>
        </w:tc>
      </w:tr>
      <w:tr w:rsidR="00DC708E" w:rsidRPr="0002448D" w14:paraId="7CFD7C74" w14:textId="77777777" w:rsidTr="00FB74AE">
        <w:tc>
          <w:tcPr>
            <w:tcW w:w="1276" w:type="dxa"/>
            <w:vMerge w:val="restart"/>
            <w:tcBorders>
              <w:right w:val="single" w:sz="4" w:space="0" w:color="808080"/>
            </w:tcBorders>
            <w:shd w:val="clear" w:color="auto" w:fill="FFE600"/>
            <w:vAlign w:val="center"/>
          </w:tcPr>
          <w:p w14:paraId="4DBD5052" w14:textId="77777777" w:rsidR="00DC708E" w:rsidRPr="00182ABD" w:rsidRDefault="00DC708E" w:rsidP="00C95ECF">
            <w:pPr>
              <w:spacing w:before="60" w:after="60" w:line="240" w:lineRule="auto"/>
              <w:jc w:val="center"/>
              <w:rPr>
                <w:rFonts w:eastAsia="Calibri"/>
                <w:b/>
                <w:sz w:val="18"/>
                <w:szCs w:val="18"/>
                <w:lang w:val="pl-PL"/>
              </w:rPr>
            </w:pPr>
            <w:r w:rsidRPr="008C32D8">
              <w:rPr>
                <w:rFonts w:eastAsia="Calibri"/>
                <w:b/>
                <w:sz w:val="18"/>
                <w:szCs w:val="18"/>
                <w:lang w:val="pl-PL"/>
              </w:rPr>
              <w:t>Kategorie GFR</w:t>
            </w:r>
          </w:p>
        </w:tc>
        <w:tc>
          <w:tcPr>
            <w:tcW w:w="1985" w:type="dxa"/>
            <w:tcBorders>
              <w:top w:val="nil"/>
              <w:left w:val="single" w:sz="4" w:space="0" w:color="808080"/>
              <w:bottom w:val="nil"/>
              <w:right w:val="single" w:sz="4" w:space="0" w:color="808080"/>
            </w:tcBorders>
            <w:shd w:val="clear" w:color="auto" w:fill="auto"/>
            <w:vAlign w:val="center"/>
          </w:tcPr>
          <w:p w14:paraId="72BF264A" w14:textId="77777777" w:rsidR="00DC708E" w:rsidRPr="00930473" w:rsidRDefault="00DC708E" w:rsidP="00C95ECF">
            <w:pPr>
              <w:spacing w:before="60" w:after="60" w:line="240" w:lineRule="auto"/>
              <w:jc w:val="center"/>
              <w:rPr>
                <w:rFonts w:eastAsia="Calibri"/>
                <w:b/>
                <w:sz w:val="18"/>
                <w:szCs w:val="18"/>
                <w:lang w:val="pl-PL"/>
              </w:rPr>
            </w:pPr>
            <w:r w:rsidRPr="00930473">
              <w:rPr>
                <w:rFonts w:eastAsia="Calibri"/>
                <w:b/>
                <w:sz w:val="18"/>
                <w:szCs w:val="18"/>
                <w:lang w:val="pl-PL"/>
              </w:rPr>
              <w:t>G1</w:t>
            </w:r>
          </w:p>
        </w:tc>
        <w:tc>
          <w:tcPr>
            <w:tcW w:w="1984" w:type="dxa"/>
            <w:tcBorders>
              <w:top w:val="single" w:sz="4" w:space="0" w:color="808080" w:themeColor="background1" w:themeShade="80"/>
              <w:left w:val="single" w:sz="4" w:space="0" w:color="808080"/>
              <w:bottom w:val="nil"/>
              <w:right w:val="nil"/>
            </w:tcBorders>
            <w:shd w:val="clear" w:color="auto" w:fill="auto"/>
            <w:vAlign w:val="center"/>
          </w:tcPr>
          <w:p w14:paraId="2A2CD02F" w14:textId="77777777" w:rsidR="00DC708E" w:rsidRPr="00F575C7" w:rsidRDefault="00DC708E" w:rsidP="00C95ECF">
            <w:pPr>
              <w:spacing w:beforeLines="20" w:before="48" w:afterLines="20" w:after="48" w:line="240" w:lineRule="auto"/>
              <w:jc w:val="center"/>
              <w:rPr>
                <w:sz w:val="18"/>
                <w:szCs w:val="18"/>
                <w:lang w:val="pl-PL"/>
              </w:rPr>
            </w:pPr>
          </w:p>
        </w:tc>
        <w:tc>
          <w:tcPr>
            <w:tcW w:w="1845" w:type="dxa"/>
            <w:tcBorders>
              <w:top w:val="single" w:sz="4" w:space="0" w:color="808080" w:themeColor="background1" w:themeShade="80"/>
              <w:left w:val="nil"/>
              <w:bottom w:val="nil"/>
              <w:right w:val="nil"/>
            </w:tcBorders>
            <w:shd w:val="clear" w:color="auto" w:fill="auto"/>
            <w:vAlign w:val="center"/>
          </w:tcPr>
          <w:p w14:paraId="143B52C0" w14:textId="77777777" w:rsidR="00DC708E" w:rsidRPr="00F575C7" w:rsidRDefault="00DC708E" w:rsidP="00C95ECF">
            <w:pPr>
              <w:spacing w:beforeLines="20" w:before="48" w:afterLines="20" w:after="48" w:line="240" w:lineRule="auto"/>
              <w:jc w:val="center"/>
              <w:rPr>
                <w:sz w:val="18"/>
                <w:szCs w:val="18"/>
                <w:lang w:val="pl-PL"/>
              </w:rPr>
            </w:pPr>
          </w:p>
        </w:tc>
        <w:tc>
          <w:tcPr>
            <w:tcW w:w="1941" w:type="dxa"/>
            <w:tcBorders>
              <w:top w:val="single" w:sz="4" w:space="0" w:color="808080" w:themeColor="background1" w:themeShade="80"/>
              <w:left w:val="nil"/>
              <w:bottom w:val="nil"/>
              <w:right w:val="nil"/>
            </w:tcBorders>
            <w:shd w:val="clear" w:color="auto" w:fill="auto"/>
            <w:vAlign w:val="center"/>
          </w:tcPr>
          <w:p w14:paraId="42E241A7" w14:textId="77777777" w:rsidR="00DC708E" w:rsidRPr="00F575C7" w:rsidRDefault="00DC708E" w:rsidP="00C95ECF">
            <w:pPr>
              <w:spacing w:beforeLines="20" w:before="48" w:afterLines="20" w:after="48" w:line="240" w:lineRule="auto"/>
              <w:jc w:val="center"/>
              <w:rPr>
                <w:sz w:val="18"/>
                <w:szCs w:val="18"/>
                <w:lang w:val="pl-PL"/>
              </w:rPr>
            </w:pPr>
          </w:p>
        </w:tc>
      </w:tr>
      <w:tr w:rsidR="00DC708E" w:rsidRPr="0002448D" w14:paraId="67F567C7" w14:textId="77777777" w:rsidTr="00FB74AE">
        <w:tc>
          <w:tcPr>
            <w:tcW w:w="1276" w:type="dxa"/>
            <w:vMerge/>
            <w:tcBorders>
              <w:right w:val="single" w:sz="4" w:space="0" w:color="808080"/>
            </w:tcBorders>
            <w:shd w:val="clear" w:color="auto" w:fill="FFE600"/>
            <w:vAlign w:val="center"/>
          </w:tcPr>
          <w:p w14:paraId="239C77B6" w14:textId="77777777" w:rsidR="00DC708E" w:rsidRPr="0002448D" w:rsidRDefault="00DC708E" w:rsidP="00C95ECF">
            <w:pPr>
              <w:spacing w:before="60" w:after="60" w:line="240" w:lineRule="auto"/>
              <w:jc w:val="center"/>
              <w:rPr>
                <w:rFonts w:eastAsia="Calibri"/>
                <w:sz w:val="18"/>
                <w:szCs w:val="18"/>
                <w:lang w:val="pl-PL"/>
              </w:rPr>
            </w:pPr>
          </w:p>
        </w:tc>
        <w:tc>
          <w:tcPr>
            <w:tcW w:w="1985" w:type="dxa"/>
            <w:tcBorders>
              <w:top w:val="nil"/>
              <w:left w:val="single" w:sz="4" w:space="0" w:color="808080"/>
              <w:bottom w:val="nil"/>
              <w:right w:val="single" w:sz="4" w:space="0" w:color="808080"/>
            </w:tcBorders>
            <w:shd w:val="clear" w:color="auto" w:fill="auto"/>
            <w:vAlign w:val="center"/>
          </w:tcPr>
          <w:p w14:paraId="44A9477A" w14:textId="77777777" w:rsidR="00DC708E" w:rsidRPr="00930473" w:rsidRDefault="00DC708E" w:rsidP="00C95ECF">
            <w:pPr>
              <w:spacing w:before="60" w:after="60" w:line="240" w:lineRule="auto"/>
              <w:jc w:val="center"/>
              <w:rPr>
                <w:rFonts w:eastAsia="Calibri"/>
                <w:b/>
                <w:sz w:val="18"/>
                <w:szCs w:val="18"/>
                <w:lang w:val="pl-PL"/>
              </w:rPr>
            </w:pPr>
            <w:r w:rsidRPr="00930473">
              <w:rPr>
                <w:rFonts w:eastAsia="Calibri"/>
                <w:b/>
                <w:sz w:val="18"/>
                <w:szCs w:val="18"/>
                <w:lang w:val="pl-PL"/>
              </w:rPr>
              <w:t>G2</w:t>
            </w:r>
          </w:p>
        </w:tc>
        <w:tc>
          <w:tcPr>
            <w:tcW w:w="1984" w:type="dxa"/>
            <w:tcBorders>
              <w:top w:val="nil"/>
              <w:left w:val="single" w:sz="4" w:space="0" w:color="808080"/>
              <w:bottom w:val="nil"/>
              <w:right w:val="nil"/>
            </w:tcBorders>
            <w:shd w:val="clear" w:color="auto" w:fill="auto"/>
            <w:vAlign w:val="center"/>
          </w:tcPr>
          <w:p w14:paraId="2D27DC4D" w14:textId="77777777" w:rsidR="00DC708E" w:rsidRPr="00F575C7" w:rsidRDefault="00DC708E" w:rsidP="00C95ECF">
            <w:pPr>
              <w:spacing w:beforeLines="20" w:before="48" w:afterLines="20" w:after="48" w:line="240" w:lineRule="auto"/>
              <w:jc w:val="center"/>
              <w:rPr>
                <w:sz w:val="18"/>
                <w:szCs w:val="18"/>
                <w:lang w:val="pl-PL"/>
              </w:rPr>
            </w:pPr>
          </w:p>
        </w:tc>
        <w:tc>
          <w:tcPr>
            <w:tcW w:w="1845" w:type="dxa"/>
            <w:tcBorders>
              <w:top w:val="nil"/>
              <w:left w:val="nil"/>
              <w:bottom w:val="nil"/>
              <w:right w:val="nil"/>
            </w:tcBorders>
            <w:shd w:val="clear" w:color="auto" w:fill="auto"/>
            <w:vAlign w:val="center"/>
          </w:tcPr>
          <w:p w14:paraId="6D3B4CAA" w14:textId="77777777" w:rsidR="00DC708E" w:rsidRPr="00F575C7" w:rsidRDefault="00DC708E" w:rsidP="00C95ECF">
            <w:pPr>
              <w:spacing w:beforeLines="20" w:before="48" w:afterLines="20" w:after="48" w:line="240" w:lineRule="auto"/>
              <w:jc w:val="center"/>
              <w:rPr>
                <w:sz w:val="18"/>
                <w:szCs w:val="18"/>
                <w:lang w:val="pl-PL"/>
              </w:rPr>
            </w:pPr>
          </w:p>
        </w:tc>
        <w:tc>
          <w:tcPr>
            <w:tcW w:w="1941" w:type="dxa"/>
            <w:tcBorders>
              <w:top w:val="nil"/>
              <w:left w:val="nil"/>
              <w:bottom w:val="nil"/>
              <w:right w:val="nil"/>
            </w:tcBorders>
            <w:shd w:val="clear" w:color="auto" w:fill="auto"/>
            <w:vAlign w:val="center"/>
          </w:tcPr>
          <w:p w14:paraId="16F8F5AB" w14:textId="77777777" w:rsidR="00DC708E" w:rsidRPr="00F575C7" w:rsidRDefault="00DC708E" w:rsidP="00C95ECF">
            <w:pPr>
              <w:spacing w:beforeLines="20" w:before="48" w:afterLines="20" w:after="48" w:line="240" w:lineRule="auto"/>
              <w:jc w:val="center"/>
              <w:rPr>
                <w:sz w:val="18"/>
                <w:szCs w:val="18"/>
                <w:lang w:val="pl-PL"/>
              </w:rPr>
            </w:pPr>
          </w:p>
        </w:tc>
      </w:tr>
      <w:tr w:rsidR="00DC708E" w:rsidRPr="00AB565D" w14:paraId="1BC1C2BB" w14:textId="77777777" w:rsidTr="00FB74AE">
        <w:tc>
          <w:tcPr>
            <w:tcW w:w="1276" w:type="dxa"/>
            <w:vMerge/>
            <w:tcBorders>
              <w:right w:val="single" w:sz="4" w:space="0" w:color="808080"/>
            </w:tcBorders>
            <w:shd w:val="clear" w:color="auto" w:fill="FFE600"/>
            <w:vAlign w:val="center"/>
          </w:tcPr>
          <w:p w14:paraId="4C9B2225" w14:textId="77777777" w:rsidR="00DC708E" w:rsidRPr="0002448D" w:rsidRDefault="00DC708E" w:rsidP="00C95ECF">
            <w:pPr>
              <w:spacing w:before="60" w:after="60" w:line="240" w:lineRule="auto"/>
              <w:jc w:val="center"/>
              <w:rPr>
                <w:rFonts w:eastAsia="Calibri"/>
                <w:sz w:val="18"/>
                <w:szCs w:val="18"/>
                <w:lang w:val="pl-PL"/>
              </w:rPr>
            </w:pPr>
          </w:p>
        </w:tc>
        <w:tc>
          <w:tcPr>
            <w:tcW w:w="1985" w:type="dxa"/>
            <w:tcBorders>
              <w:top w:val="nil"/>
              <w:left w:val="single" w:sz="4" w:space="0" w:color="808080"/>
              <w:bottom w:val="nil"/>
              <w:right w:val="single" w:sz="4" w:space="0" w:color="808080"/>
            </w:tcBorders>
            <w:shd w:val="clear" w:color="auto" w:fill="auto"/>
            <w:vAlign w:val="center"/>
          </w:tcPr>
          <w:p w14:paraId="7679D202" w14:textId="77777777" w:rsidR="00DC708E" w:rsidRPr="00930473" w:rsidRDefault="00DC708E" w:rsidP="00C95ECF">
            <w:pPr>
              <w:spacing w:before="60" w:after="60" w:line="240" w:lineRule="auto"/>
              <w:jc w:val="center"/>
              <w:rPr>
                <w:rFonts w:eastAsia="Calibri"/>
                <w:b/>
                <w:sz w:val="18"/>
                <w:szCs w:val="18"/>
                <w:lang w:val="pl-PL"/>
              </w:rPr>
            </w:pPr>
            <w:r w:rsidRPr="00930473">
              <w:rPr>
                <w:rFonts w:eastAsia="Calibri"/>
                <w:b/>
                <w:sz w:val="18"/>
                <w:szCs w:val="18"/>
                <w:lang w:val="pl-PL"/>
              </w:rPr>
              <w:t>G3a</w:t>
            </w:r>
          </w:p>
        </w:tc>
        <w:tc>
          <w:tcPr>
            <w:tcW w:w="1984" w:type="dxa"/>
            <w:tcBorders>
              <w:top w:val="nil"/>
              <w:left w:val="single" w:sz="4" w:space="0" w:color="808080"/>
              <w:bottom w:val="nil"/>
              <w:right w:val="nil"/>
            </w:tcBorders>
            <w:shd w:val="clear" w:color="auto" w:fill="auto"/>
            <w:vAlign w:val="center"/>
          </w:tcPr>
          <w:p w14:paraId="3A7A9E7F" w14:textId="77777777" w:rsidR="00DC708E" w:rsidRPr="00F575C7" w:rsidRDefault="00DC708E" w:rsidP="00C95ECF">
            <w:pPr>
              <w:spacing w:beforeLines="20" w:before="48" w:afterLines="20" w:after="48" w:line="240" w:lineRule="auto"/>
              <w:jc w:val="center"/>
              <w:rPr>
                <w:sz w:val="18"/>
                <w:szCs w:val="18"/>
                <w:lang w:val="pl-PL"/>
              </w:rPr>
            </w:pPr>
          </w:p>
        </w:tc>
        <w:tc>
          <w:tcPr>
            <w:tcW w:w="1845" w:type="dxa"/>
            <w:tcBorders>
              <w:top w:val="nil"/>
              <w:left w:val="nil"/>
              <w:bottom w:val="nil"/>
              <w:right w:val="nil"/>
            </w:tcBorders>
            <w:shd w:val="clear" w:color="auto" w:fill="auto"/>
            <w:vAlign w:val="center"/>
          </w:tcPr>
          <w:p w14:paraId="0D1F4D13" w14:textId="77777777" w:rsidR="00DC708E" w:rsidRPr="00F575C7" w:rsidRDefault="00DC708E" w:rsidP="00C95ECF">
            <w:pPr>
              <w:spacing w:beforeLines="20" w:before="48" w:afterLines="20" w:after="48" w:line="240" w:lineRule="auto"/>
              <w:jc w:val="center"/>
              <w:rPr>
                <w:sz w:val="18"/>
                <w:szCs w:val="18"/>
                <w:lang w:val="pl-PL"/>
              </w:rPr>
            </w:pPr>
          </w:p>
        </w:tc>
        <w:tc>
          <w:tcPr>
            <w:tcW w:w="1941" w:type="dxa"/>
            <w:tcBorders>
              <w:top w:val="nil"/>
              <w:left w:val="nil"/>
              <w:bottom w:val="nil"/>
              <w:right w:val="nil"/>
            </w:tcBorders>
            <w:shd w:val="clear" w:color="auto" w:fill="auto"/>
            <w:vAlign w:val="center"/>
          </w:tcPr>
          <w:p w14:paraId="04DC8AB4" w14:textId="77777777" w:rsidR="00DC708E" w:rsidRPr="00F575C7" w:rsidRDefault="00DC708E" w:rsidP="00C95ECF">
            <w:pPr>
              <w:spacing w:beforeLines="20" w:before="48" w:afterLines="20" w:after="48" w:line="240" w:lineRule="auto"/>
              <w:jc w:val="center"/>
              <w:rPr>
                <w:sz w:val="18"/>
                <w:szCs w:val="18"/>
                <w:lang w:val="pl-PL"/>
              </w:rPr>
            </w:pPr>
          </w:p>
        </w:tc>
      </w:tr>
      <w:tr w:rsidR="00DC708E" w:rsidRPr="00AB565D" w14:paraId="5B55531B" w14:textId="77777777" w:rsidTr="00FB74AE">
        <w:tc>
          <w:tcPr>
            <w:tcW w:w="1276" w:type="dxa"/>
            <w:vMerge/>
            <w:tcBorders>
              <w:right w:val="single" w:sz="4" w:space="0" w:color="808080"/>
            </w:tcBorders>
            <w:shd w:val="clear" w:color="auto" w:fill="FFE600"/>
            <w:vAlign w:val="center"/>
          </w:tcPr>
          <w:p w14:paraId="73584145" w14:textId="77777777" w:rsidR="00DC708E" w:rsidRPr="0002448D" w:rsidRDefault="00DC708E" w:rsidP="00C95ECF">
            <w:pPr>
              <w:spacing w:before="60" w:after="60" w:line="240" w:lineRule="auto"/>
              <w:jc w:val="center"/>
              <w:rPr>
                <w:rFonts w:eastAsia="Calibri"/>
                <w:sz w:val="18"/>
                <w:szCs w:val="18"/>
                <w:lang w:val="pl-PL"/>
              </w:rPr>
            </w:pPr>
          </w:p>
        </w:tc>
        <w:tc>
          <w:tcPr>
            <w:tcW w:w="1985" w:type="dxa"/>
            <w:tcBorders>
              <w:top w:val="nil"/>
              <w:left w:val="single" w:sz="4" w:space="0" w:color="808080"/>
              <w:bottom w:val="nil"/>
              <w:right w:val="single" w:sz="4" w:space="0" w:color="808080"/>
            </w:tcBorders>
            <w:shd w:val="clear" w:color="auto" w:fill="auto"/>
            <w:vAlign w:val="center"/>
          </w:tcPr>
          <w:p w14:paraId="1BCCDCE5" w14:textId="77777777" w:rsidR="00DC708E" w:rsidRPr="00930473" w:rsidRDefault="00B22BAB" w:rsidP="00C95ECF">
            <w:pPr>
              <w:spacing w:before="60" w:after="60" w:line="240" w:lineRule="auto"/>
              <w:jc w:val="center"/>
              <w:rPr>
                <w:rFonts w:eastAsia="Calibri"/>
                <w:b/>
                <w:sz w:val="18"/>
                <w:szCs w:val="18"/>
                <w:lang w:val="pl-PL"/>
              </w:rPr>
            </w:pPr>
            <w:r w:rsidRPr="00B22BAB">
              <w:rPr>
                <w:rFonts w:eastAsia="Calibri"/>
                <w:noProof/>
                <w:lang w:val="pl-PL" w:eastAsia="pl-PL"/>
              </w:rPr>
              <mc:AlternateContent>
                <mc:Choice Requires="wps">
                  <w:drawing>
                    <wp:anchor distT="0" distB="0" distL="114300" distR="114300" simplePos="0" relativeHeight="251691008" behindDoc="0" locked="0" layoutInCell="1" allowOverlap="1" wp14:anchorId="216E4F4C" wp14:editId="1FE4CAE9">
                      <wp:simplePos x="0" y="0"/>
                      <wp:positionH relativeFrom="column">
                        <wp:posOffset>1182370</wp:posOffset>
                      </wp:positionH>
                      <wp:positionV relativeFrom="paragraph">
                        <wp:posOffset>217805</wp:posOffset>
                      </wp:positionV>
                      <wp:extent cx="3657600" cy="438150"/>
                      <wp:effectExtent l="19050" t="19050" r="19050" b="19050"/>
                      <wp:wrapNone/>
                      <wp:docPr id="16" name="Rectangle 15"/>
                      <wp:cNvGraphicFramePr/>
                      <a:graphic xmlns:a="http://schemas.openxmlformats.org/drawingml/2006/main">
                        <a:graphicData uri="http://schemas.microsoft.com/office/word/2010/wordprocessingShape">
                          <wps:wsp>
                            <wps:cNvSpPr/>
                            <wps:spPr>
                              <a:xfrm>
                                <a:off x="0" y="0"/>
                                <a:ext cx="3657600" cy="438150"/>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7FA9A" id="Rectangle 15" o:spid="_x0000_s1026" style="position:absolute;margin-left:93.1pt;margin-top:17.15pt;width:4in;height: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" filled="f" strokecolor="#00b0f0" strokeweight="2.25pt"/>
                  </w:pict>
                </mc:Fallback>
              </mc:AlternateContent>
            </w:r>
            <w:r w:rsidR="00DC708E" w:rsidRPr="00930473">
              <w:rPr>
                <w:rFonts w:eastAsia="Calibri"/>
                <w:b/>
                <w:sz w:val="18"/>
                <w:szCs w:val="18"/>
                <w:lang w:val="pl-PL"/>
              </w:rPr>
              <w:t>G3b</w:t>
            </w:r>
          </w:p>
        </w:tc>
        <w:tc>
          <w:tcPr>
            <w:tcW w:w="1984" w:type="dxa"/>
            <w:tcBorders>
              <w:top w:val="nil"/>
              <w:left w:val="single" w:sz="4" w:space="0" w:color="808080"/>
              <w:bottom w:val="nil"/>
              <w:right w:val="nil"/>
            </w:tcBorders>
            <w:shd w:val="clear" w:color="auto" w:fill="auto"/>
            <w:vAlign w:val="center"/>
          </w:tcPr>
          <w:p w14:paraId="1D42F52A" w14:textId="77777777" w:rsidR="00DC708E" w:rsidRPr="00F575C7" w:rsidRDefault="00DC708E" w:rsidP="00C95ECF">
            <w:pPr>
              <w:spacing w:beforeLines="20" w:before="48" w:afterLines="20" w:after="48" w:line="240" w:lineRule="auto"/>
              <w:jc w:val="center"/>
              <w:rPr>
                <w:sz w:val="18"/>
                <w:szCs w:val="18"/>
                <w:lang w:val="pl-PL"/>
              </w:rPr>
            </w:pPr>
          </w:p>
        </w:tc>
        <w:tc>
          <w:tcPr>
            <w:tcW w:w="1845" w:type="dxa"/>
            <w:tcBorders>
              <w:top w:val="nil"/>
              <w:left w:val="nil"/>
              <w:bottom w:val="nil"/>
              <w:right w:val="nil"/>
            </w:tcBorders>
            <w:shd w:val="clear" w:color="auto" w:fill="auto"/>
            <w:vAlign w:val="center"/>
          </w:tcPr>
          <w:p w14:paraId="2CC41A09" w14:textId="77777777" w:rsidR="00DC708E" w:rsidRPr="00F575C7" w:rsidRDefault="00DC708E" w:rsidP="00C95ECF">
            <w:pPr>
              <w:spacing w:beforeLines="20" w:before="48" w:afterLines="20" w:after="48" w:line="240" w:lineRule="auto"/>
              <w:jc w:val="center"/>
              <w:rPr>
                <w:sz w:val="18"/>
                <w:szCs w:val="18"/>
                <w:lang w:val="pl-PL"/>
              </w:rPr>
            </w:pPr>
          </w:p>
        </w:tc>
        <w:tc>
          <w:tcPr>
            <w:tcW w:w="1941" w:type="dxa"/>
            <w:tcBorders>
              <w:top w:val="nil"/>
              <w:left w:val="nil"/>
              <w:bottom w:val="nil"/>
              <w:right w:val="nil"/>
            </w:tcBorders>
            <w:shd w:val="clear" w:color="auto" w:fill="auto"/>
            <w:vAlign w:val="center"/>
          </w:tcPr>
          <w:p w14:paraId="7A279392" w14:textId="77777777" w:rsidR="00DC708E" w:rsidRPr="00F575C7" w:rsidRDefault="00DC708E" w:rsidP="00C95ECF">
            <w:pPr>
              <w:spacing w:beforeLines="20" w:before="48" w:afterLines="20" w:after="48" w:line="240" w:lineRule="auto"/>
              <w:jc w:val="center"/>
              <w:rPr>
                <w:sz w:val="18"/>
                <w:szCs w:val="18"/>
                <w:lang w:val="pl-PL"/>
              </w:rPr>
            </w:pPr>
          </w:p>
        </w:tc>
      </w:tr>
      <w:tr w:rsidR="00DC708E" w:rsidRPr="0002448D" w14:paraId="0F68ED1B" w14:textId="77777777" w:rsidTr="00FB74AE">
        <w:tc>
          <w:tcPr>
            <w:tcW w:w="1276" w:type="dxa"/>
            <w:vMerge/>
            <w:tcBorders>
              <w:right w:val="single" w:sz="4" w:space="0" w:color="808080"/>
            </w:tcBorders>
            <w:shd w:val="clear" w:color="auto" w:fill="FFE600"/>
            <w:vAlign w:val="center"/>
          </w:tcPr>
          <w:p w14:paraId="73621171" w14:textId="77777777" w:rsidR="00DC708E" w:rsidRPr="0002448D" w:rsidRDefault="00DC708E" w:rsidP="00C95ECF">
            <w:pPr>
              <w:spacing w:before="60" w:after="60" w:line="240" w:lineRule="auto"/>
              <w:jc w:val="center"/>
              <w:rPr>
                <w:rFonts w:eastAsia="Calibri"/>
                <w:sz w:val="18"/>
                <w:szCs w:val="18"/>
                <w:lang w:val="pl-PL"/>
              </w:rPr>
            </w:pPr>
          </w:p>
        </w:tc>
        <w:tc>
          <w:tcPr>
            <w:tcW w:w="1985" w:type="dxa"/>
            <w:tcBorders>
              <w:top w:val="nil"/>
              <w:left w:val="single" w:sz="4" w:space="0" w:color="808080"/>
              <w:bottom w:val="nil"/>
              <w:right w:val="single" w:sz="4" w:space="0" w:color="808080"/>
            </w:tcBorders>
            <w:shd w:val="clear" w:color="auto" w:fill="auto"/>
            <w:vAlign w:val="center"/>
          </w:tcPr>
          <w:p w14:paraId="144405B4" w14:textId="77777777" w:rsidR="00DC708E" w:rsidRPr="00930473" w:rsidRDefault="00DC708E" w:rsidP="00C95ECF">
            <w:pPr>
              <w:spacing w:before="60" w:after="60" w:line="240" w:lineRule="auto"/>
              <w:jc w:val="center"/>
              <w:rPr>
                <w:rFonts w:eastAsia="Calibri"/>
                <w:b/>
                <w:sz w:val="18"/>
                <w:szCs w:val="18"/>
                <w:lang w:val="pl-PL"/>
              </w:rPr>
            </w:pPr>
            <w:r w:rsidRPr="00930473">
              <w:rPr>
                <w:rFonts w:eastAsia="Calibri"/>
                <w:b/>
                <w:sz w:val="18"/>
                <w:szCs w:val="18"/>
                <w:lang w:val="pl-PL"/>
              </w:rPr>
              <w:t>G4</w:t>
            </w:r>
          </w:p>
        </w:tc>
        <w:tc>
          <w:tcPr>
            <w:tcW w:w="1984" w:type="dxa"/>
            <w:tcBorders>
              <w:top w:val="nil"/>
              <w:left w:val="single" w:sz="4" w:space="0" w:color="808080"/>
              <w:bottom w:val="nil"/>
              <w:right w:val="nil"/>
            </w:tcBorders>
            <w:shd w:val="clear" w:color="auto" w:fill="auto"/>
            <w:vAlign w:val="center"/>
          </w:tcPr>
          <w:p w14:paraId="109B825E" w14:textId="77777777" w:rsidR="00DC708E" w:rsidRPr="00F575C7" w:rsidRDefault="00DC708E" w:rsidP="00C95ECF">
            <w:pPr>
              <w:spacing w:beforeLines="20" w:before="48" w:afterLines="20" w:after="48" w:line="240" w:lineRule="auto"/>
              <w:jc w:val="center"/>
              <w:rPr>
                <w:sz w:val="18"/>
                <w:szCs w:val="18"/>
                <w:lang w:val="pl-PL"/>
              </w:rPr>
            </w:pPr>
          </w:p>
        </w:tc>
        <w:tc>
          <w:tcPr>
            <w:tcW w:w="1845" w:type="dxa"/>
            <w:tcBorders>
              <w:top w:val="nil"/>
              <w:left w:val="nil"/>
              <w:bottom w:val="nil"/>
              <w:right w:val="nil"/>
            </w:tcBorders>
            <w:shd w:val="clear" w:color="auto" w:fill="auto"/>
            <w:vAlign w:val="center"/>
          </w:tcPr>
          <w:p w14:paraId="38E4F790" w14:textId="77777777" w:rsidR="00DC708E" w:rsidRPr="00F575C7" w:rsidRDefault="00DC708E" w:rsidP="00C95ECF">
            <w:pPr>
              <w:spacing w:beforeLines="20" w:before="48" w:afterLines="20" w:after="48" w:line="240" w:lineRule="auto"/>
              <w:jc w:val="center"/>
              <w:rPr>
                <w:sz w:val="18"/>
                <w:szCs w:val="18"/>
                <w:lang w:val="pl-PL"/>
              </w:rPr>
            </w:pPr>
          </w:p>
        </w:tc>
        <w:tc>
          <w:tcPr>
            <w:tcW w:w="1941" w:type="dxa"/>
            <w:tcBorders>
              <w:top w:val="nil"/>
              <w:left w:val="nil"/>
              <w:bottom w:val="nil"/>
              <w:right w:val="nil"/>
            </w:tcBorders>
            <w:shd w:val="clear" w:color="auto" w:fill="FFE600"/>
            <w:vAlign w:val="center"/>
          </w:tcPr>
          <w:p w14:paraId="42FA179E" w14:textId="77777777" w:rsidR="00DC708E" w:rsidRPr="00F575C7" w:rsidRDefault="00DC708E" w:rsidP="00C95ECF">
            <w:pPr>
              <w:spacing w:beforeLines="20" w:before="48" w:afterLines="20" w:after="48" w:line="240" w:lineRule="auto"/>
              <w:jc w:val="center"/>
              <w:rPr>
                <w:color w:val="FFFFFF" w:themeColor="background1"/>
                <w:sz w:val="18"/>
                <w:szCs w:val="18"/>
                <w:lang w:val="pl-PL"/>
              </w:rPr>
            </w:pPr>
          </w:p>
        </w:tc>
      </w:tr>
      <w:tr w:rsidR="00DC708E" w:rsidRPr="0002448D" w14:paraId="41548699" w14:textId="77777777" w:rsidTr="00FB74AE">
        <w:tc>
          <w:tcPr>
            <w:tcW w:w="1276" w:type="dxa"/>
            <w:vMerge/>
            <w:tcBorders>
              <w:right w:val="single" w:sz="4" w:space="0" w:color="808080"/>
            </w:tcBorders>
            <w:shd w:val="clear" w:color="auto" w:fill="FFE600"/>
            <w:vAlign w:val="center"/>
          </w:tcPr>
          <w:p w14:paraId="475CDD14" w14:textId="77777777" w:rsidR="00DC708E" w:rsidRPr="0002448D" w:rsidRDefault="00DC708E" w:rsidP="00C95ECF">
            <w:pPr>
              <w:spacing w:before="60" w:after="60" w:line="240" w:lineRule="auto"/>
              <w:jc w:val="center"/>
              <w:rPr>
                <w:rFonts w:eastAsia="Calibri"/>
                <w:sz w:val="18"/>
                <w:szCs w:val="18"/>
                <w:lang w:val="pl-PL"/>
              </w:rPr>
            </w:pPr>
          </w:p>
        </w:tc>
        <w:tc>
          <w:tcPr>
            <w:tcW w:w="1985" w:type="dxa"/>
            <w:tcBorders>
              <w:top w:val="nil"/>
              <w:left w:val="single" w:sz="4" w:space="0" w:color="808080"/>
              <w:bottom w:val="nil"/>
              <w:right w:val="single" w:sz="4" w:space="0" w:color="808080"/>
            </w:tcBorders>
            <w:shd w:val="clear" w:color="auto" w:fill="auto"/>
            <w:vAlign w:val="center"/>
          </w:tcPr>
          <w:p w14:paraId="509A31EA" w14:textId="77777777" w:rsidR="00DC708E" w:rsidRPr="00930473" w:rsidRDefault="00DC708E" w:rsidP="00C95ECF">
            <w:pPr>
              <w:spacing w:before="60" w:after="60" w:line="240" w:lineRule="auto"/>
              <w:jc w:val="center"/>
              <w:rPr>
                <w:rFonts w:eastAsia="Calibri"/>
                <w:b/>
                <w:sz w:val="18"/>
                <w:szCs w:val="18"/>
                <w:lang w:val="pl-PL"/>
              </w:rPr>
            </w:pPr>
            <w:r w:rsidRPr="00930473">
              <w:rPr>
                <w:rFonts w:eastAsia="Calibri"/>
                <w:b/>
                <w:sz w:val="18"/>
                <w:szCs w:val="18"/>
                <w:lang w:val="pl-PL"/>
              </w:rPr>
              <w:t>G5</w:t>
            </w:r>
          </w:p>
        </w:tc>
        <w:tc>
          <w:tcPr>
            <w:tcW w:w="1984" w:type="dxa"/>
            <w:tcBorders>
              <w:top w:val="nil"/>
              <w:left w:val="single" w:sz="4" w:space="0" w:color="808080"/>
              <w:bottom w:val="nil"/>
              <w:right w:val="nil"/>
            </w:tcBorders>
            <w:shd w:val="clear" w:color="auto" w:fill="FFE600"/>
            <w:vAlign w:val="center"/>
          </w:tcPr>
          <w:p w14:paraId="4679BC31" w14:textId="77777777" w:rsidR="00DC708E" w:rsidRPr="00F575C7" w:rsidRDefault="00DC708E" w:rsidP="00C95ECF">
            <w:pPr>
              <w:spacing w:beforeLines="20" w:before="48" w:afterLines="20" w:after="48" w:line="240" w:lineRule="auto"/>
              <w:jc w:val="center"/>
              <w:rPr>
                <w:rFonts w:eastAsia="Calibri"/>
                <w:color w:val="FFFFFF" w:themeColor="background1"/>
                <w:sz w:val="18"/>
                <w:szCs w:val="18"/>
                <w:lang w:val="pl-PL"/>
              </w:rPr>
            </w:pPr>
          </w:p>
        </w:tc>
        <w:tc>
          <w:tcPr>
            <w:tcW w:w="1845" w:type="dxa"/>
            <w:tcBorders>
              <w:top w:val="nil"/>
              <w:left w:val="nil"/>
              <w:bottom w:val="nil"/>
              <w:right w:val="nil"/>
            </w:tcBorders>
            <w:shd w:val="clear" w:color="auto" w:fill="FFE600"/>
            <w:vAlign w:val="center"/>
          </w:tcPr>
          <w:p w14:paraId="47358A01" w14:textId="77777777" w:rsidR="00DC708E" w:rsidRPr="00F575C7" w:rsidRDefault="00DC708E" w:rsidP="00C95ECF">
            <w:pPr>
              <w:spacing w:beforeLines="20" w:before="48" w:afterLines="20" w:after="48" w:line="240" w:lineRule="auto"/>
              <w:jc w:val="center"/>
              <w:rPr>
                <w:rFonts w:eastAsia="Calibri"/>
                <w:color w:val="FFFFFF" w:themeColor="background1"/>
                <w:sz w:val="18"/>
                <w:szCs w:val="18"/>
                <w:lang w:val="pl-PL"/>
              </w:rPr>
            </w:pPr>
          </w:p>
        </w:tc>
        <w:tc>
          <w:tcPr>
            <w:tcW w:w="1941" w:type="dxa"/>
            <w:tcBorders>
              <w:top w:val="nil"/>
              <w:left w:val="nil"/>
              <w:bottom w:val="nil"/>
              <w:right w:val="nil"/>
            </w:tcBorders>
            <w:shd w:val="clear" w:color="auto" w:fill="FFE600"/>
            <w:vAlign w:val="center"/>
          </w:tcPr>
          <w:p w14:paraId="6BFC18E9" w14:textId="77777777" w:rsidR="00DC708E" w:rsidRPr="00F575C7" w:rsidRDefault="00DC708E" w:rsidP="00C95ECF">
            <w:pPr>
              <w:spacing w:beforeLines="20" w:before="48" w:afterLines="20" w:after="48" w:line="240" w:lineRule="auto"/>
              <w:jc w:val="center"/>
              <w:rPr>
                <w:rFonts w:eastAsia="Calibri"/>
                <w:color w:val="FFFFFF" w:themeColor="background1"/>
                <w:sz w:val="18"/>
                <w:szCs w:val="18"/>
                <w:lang w:val="pl-PL"/>
              </w:rPr>
            </w:pPr>
          </w:p>
        </w:tc>
      </w:tr>
    </w:tbl>
    <w:p w14:paraId="62BC8168" w14:textId="525533E0" w:rsidR="00DC708E" w:rsidRPr="00477B20" w:rsidRDefault="00DC708E" w:rsidP="00DC708E">
      <w:pPr>
        <w:pStyle w:val="EYBulletedList1"/>
        <w:numPr>
          <w:ilvl w:val="0"/>
          <w:numId w:val="0"/>
        </w:numPr>
        <w:spacing w:line="360" w:lineRule="auto"/>
        <w:jc w:val="both"/>
        <w:rPr>
          <w:sz w:val="24"/>
          <w:szCs w:val="18"/>
        </w:rPr>
      </w:pPr>
      <w:proofErr w:type="spellStart"/>
      <w:r>
        <w:rPr>
          <w:rFonts w:eastAsia="Calibri"/>
          <w:sz w:val="18"/>
        </w:rPr>
        <w:t>Źródło</w:t>
      </w:r>
      <w:proofErr w:type="spellEnd"/>
      <w:r>
        <w:rPr>
          <w:rFonts w:eastAsia="Calibri"/>
          <w:sz w:val="18"/>
        </w:rPr>
        <w:t xml:space="preserve">: </w:t>
      </w:r>
      <w:proofErr w:type="spellStart"/>
      <w:r w:rsidR="00427CFA">
        <w:rPr>
          <w:rFonts w:eastAsia="Calibri"/>
          <w:sz w:val="18"/>
        </w:rPr>
        <w:t>Opracowanie</w:t>
      </w:r>
      <w:proofErr w:type="spellEnd"/>
      <w:r w:rsidR="00427CFA">
        <w:rPr>
          <w:rFonts w:eastAsia="Calibri"/>
          <w:sz w:val="18"/>
        </w:rPr>
        <w:t xml:space="preserve"> </w:t>
      </w:r>
      <w:proofErr w:type="spellStart"/>
      <w:r w:rsidR="00427CFA">
        <w:rPr>
          <w:rFonts w:eastAsia="Calibri"/>
          <w:sz w:val="18"/>
        </w:rPr>
        <w:t>własne</w:t>
      </w:r>
      <w:proofErr w:type="spellEnd"/>
      <w:r w:rsidR="00427CFA">
        <w:rPr>
          <w:rFonts w:eastAsia="Calibri"/>
          <w:sz w:val="18"/>
        </w:rPr>
        <w:t xml:space="preserve"> EY </w:t>
      </w:r>
      <w:proofErr w:type="spellStart"/>
      <w:r w:rsidR="00427CFA">
        <w:rPr>
          <w:rFonts w:eastAsia="Calibri"/>
          <w:sz w:val="18"/>
        </w:rPr>
        <w:t>na</w:t>
      </w:r>
      <w:proofErr w:type="spellEnd"/>
      <w:r w:rsidR="00427CFA">
        <w:rPr>
          <w:rFonts w:eastAsia="Calibri"/>
          <w:sz w:val="18"/>
        </w:rPr>
        <w:t xml:space="preserve"> </w:t>
      </w:r>
      <w:proofErr w:type="spellStart"/>
      <w:r w:rsidR="00427CFA">
        <w:rPr>
          <w:rFonts w:eastAsia="Calibri"/>
          <w:sz w:val="18"/>
        </w:rPr>
        <w:t>podstawie</w:t>
      </w:r>
      <w:proofErr w:type="spellEnd"/>
      <w:r w:rsidR="00427CFA">
        <w:rPr>
          <w:rFonts w:eastAsia="Calibri"/>
          <w:sz w:val="18"/>
        </w:rPr>
        <w:t xml:space="preserve"> </w:t>
      </w:r>
      <w:r w:rsidRPr="00A875F2">
        <w:rPr>
          <w:sz w:val="18"/>
        </w:rPr>
        <w:t>KDIGO 2012 Clinical Practic</w:t>
      </w:r>
      <w:r w:rsidRPr="00BE6340">
        <w:rPr>
          <w:sz w:val="18"/>
        </w:rPr>
        <w:t>e Guideline for the Evaluation and Management of Chronic Kidney Disease, Official Journal of the International Society of Nephrology, 2013</w:t>
      </w:r>
    </w:p>
    <w:p w14:paraId="74BD6D36" w14:textId="038B43BA" w:rsidR="000D2E46" w:rsidRPr="00344613" w:rsidRDefault="000D2E46" w:rsidP="00477F06">
      <w:pPr>
        <w:rPr>
          <w:b/>
          <w:lang w:val="pl-PL"/>
        </w:rPr>
      </w:pPr>
      <w:r>
        <w:rPr>
          <w:rFonts w:eastAsia="Calibri"/>
          <w:lang w:val="pl-PL"/>
        </w:rPr>
        <w:t xml:space="preserve">W tabeli </w:t>
      </w:r>
      <w:r w:rsidR="001E35A3">
        <w:rPr>
          <w:rFonts w:eastAsia="Calibri"/>
          <w:lang w:val="pl-PL"/>
        </w:rPr>
        <w:t>1</w:t>
      </w:r>
      <w:r w:rsidR="004728B7">
        <w:rPr>
          <w:rFonts w:eastAsia="Calibri"/>
          <w:lang w:val="pl-PL"/>
        </w:rPr>
        <w:t>9</w:t>
      </w:r>
      <w:r>
        <w:rPr>
          <w:rFonts w:eastAsia="Calibri"/>
          <w:lang w:val="pl-PL"/>
        </w:rPr>
        <w:t xml:space="preserve"> przedstawiono zakres odpowiedzialności w modelu opieki nad pacjentem w zaawansowanym stadium </w:t>
      </w:r>
      <w:proofErr w:type="spellStart"/>
      <w:r>
        <w:rPr>
          <w:rFonts w:eastAsia="Calibri"/>
          <w:lang w:val="pl-PL"/>
        </w:rPr>
        <w:t>PChN</w:t>
      </w:r>
      <w:proofErr w:type="spellEnd"/>
      <w:r>
        <w:rPr>
          <w:rFonts w:eastAsia="Calibri"/>
          <w:lang w:val="pl-PL"/>
        </w:rPr>
        <w:t xml:space="preserve"> przed dializą obowiązujący aktualnie oraz w rekomendowanym kształcie. Proponowany i omówiony szerzej w niniejszym opracowaniu model opieki dotyczy krótkiego horyzontu czasowego, co oznacza, że jest możliwy do wdrożenia </w:t>
      </w:r>
      <w:r w:rsidR="00F575C7">
        <w:rPr>
          <w:rFonts w:eastAsia="Calibri"/>
          <w:lang w:val="pl-PL"/>
        </w:rPr>
        <w:t>relatywnie szybko, a jednocześnie może przyn</w:t>
      </w:r>
      <w:r w:rsidR="00682F2C">
        <w:rPr>
          <w:rFonts w:eastAsia="Calibri"/>
          <w:lang w:val="pl-PL"/>
        </w:rPr>
        <w:t>ieść istotne korzyści zdrowotne i finansowe takie jak opóźnienie rozpoczęcia leczenia nerkozastępczego.</w:t>
      </w:r>
    </w:p>
    <w:p w14:paraId="674E073A" w14:textId="10B1D957" w:rsidR="00477F06" w:rsidRPr="0045286E" w:rsidRDefault="00477F06" w:rsidP="00F3768A">
      <w:pPr>
        <w:pStyle w:val="Legenda"/>
        <w:keepNext/>
        <w:rPr>
          <w:b/>
          <w:i w:val="0"/>
          <w:color w:val="auto"/>
          <w:lang w:val="pl-PL"/>
        </w:rPr>
      </w:pPr>
      <w:bookmarkStart w:id="124" w:name="_Toc486537982"/>
      <w:r w:rsidRPr="0045286E">
        <w:rPr>
          <w:b/>
          <w:i w:val="0"/>
          <w:color w:val="auto"/>
          <w:lang w:val="pl-PL"/>
        </w:rPr>
        <w:t xml:space="preserve">Tabela </w:t>
      </w:r>
      <w:r w:rsidRPr="00835025">
        <w:rPr>
          <w:b/>
          <w:i w:val="0"/>
          <w:color w:val="auto"/>
          <w:lang w:val="pl-PL"/>
        </w:rPr>
        <w:fldChar w:fldCharType="begin"/>
      </w:r>
      <w:r w:rsidRPr="0045286E">
        <w:rPr>
          <w:b/>
          <w:i w:val="0"/>
          <w:color w:val="auto"/>
          <w:lang w:val="pl-PL"/>
        </w:rPr>
        <w:instrText xml:space="preserve"> SEQ Tabela \* ARABIC </w:instrText>
      </w:r>
      <w:r w:rsidRPr="00835025">
        <w:rPr>
          <w:b/>
          <w:i w:val="0"/>
          <w:color w:val="auto"/>
          <w:lang w:val="pl-PL"/>
        </w:rPr>
        <w:fldChar w:fldCharType="separate"/>
      </w:r>
      <w:r w:rsidR="005C7285">
        <w:rPr>
          <w:b/>
          <w:i w:val="0"/>
          <w:noProof/>
          <w:color w:val="auto"/>
          <w:lang w:val="pl-PL"/>
        </w:rPr>
        <w:t>19</w:t>
      </w:r>
      <w:r w:rsidRPr="00835025">
        <w:rPr>
          <w:b/>
          <w:i w:val="0"/>
          <w:color w:val="auto"/>
          <w:lang w:val="pl-PL"/>
        </w:rPr>
        <w:fldChar w:fldCharType="end"/>
      </w:r>
      <w:r w:rsidRPr="0045286E">
        <w:rPr>
          <w:b/>
          <w:i w:val="0"/>
          <w:color w:val="auto"/>
          <w:lang w:val="pl-PL"/>
        </w:rPr>
        <w:t xml:space="preserve"> Zakres odpowiedzialności w aktualnym, proponowanym </w:t>
      </w:r>
      <w:r>
        <w:rPr>
          <w:b/>
          <w:i w:val="0"/>
          <w:color w:val="auto"/>
          <w:lang w:val="pl-PL"/>
        </w:rPr>
        <w:t>i</w:t>
      </w:r>
      <w:r w:rsidRPr="0045286E">
        <w:rPr>
          <w:b/>
          <w:i w:val="0"/>
          <w:color w:val="auto"/>
          <w:lang w:val="pl-PL"/>
        </w:rPr>
        <w:t xml:space="preserve"> docelowym modelu opieki nad pacjentem </w:t>
      </w:r>
      <w:r w:rsidR="00D07BE5" w:rsidRPr="00D07BE5">
        <w:rPr>
          <w:b/>
          <w:i w:val="0"/>
          <w:color w:val="auto"/>
          <w:lang w:val="pl-PL"/>
        </w:rPr>
        <w:t xml:space="preserve">w zaawansowanym stadium </w:t>
      </w:r>
      <w:proofErr w:type="spellStart"/>
      <w:r w:rsidR="00D07BE5" w:rsidRPr="00D07BE5">
        <w:rPr>
          <w:b/>
          <w:i w:val="0"/>
          <w:color w:val="auto"/>
          <w:lang w:val="pl-PL"/>
        </w:rPr>
        <w:t>PChN</w:t>
      </w:r>
      <w:proofErr w:type="spellEnd"/>
      <w:r w:rsidR="00D07BE5" w:rsidRPr="00D07BE5">
        <w:rPr>
          <w:b/>
          <w:i w:val="0"/>
          <w:color w:val="auto"/>
          <w:lang w:val="pl-PL"/>
        </w:rPr>
        <w:t xml:space="preserve"> </w:t>
      </w:r>
      <w:r w:rsidR="00D07BE5">
        <w:rPr>
          <w:b/>
          <w:i w:val="0"/>
          <w:color w:val="auto"/>
          <w:lang w:val="pl-PL"/>
        </w:rPr>
        <w:t xml:space="preserve">przed </w:t>
      </w:r>
      <w:r>
        <w:rPr>
          <w:b/>
          <w:i w:val="0"/>
          <w:color w:val="auto"/>
          <w:lang w:val="pl-PL"/>
        </w:rPr>
        <w:t>dializ</w:t>
      </w:r>
      <w:r w:rsidR="00D07BE5">
        <w:rPr>
          <w:b/>
          <w:i w:val="0"/>
          <w:color w:val="auto"/>
          <w:lang w:val="pl-PL"/>
        </w:rPr>
        <w:t xml:space="preserve">ą </w:t>
      </w:r>
      <w:r>
        <w:rPr>
          <w:b/>
          <w:i w:val="0"/>
          <w:color w:val="auto"/>
          <w:lang w:val="pl-PL"/>
        </w:rPr>
        <w:t>w jednostce koordynującej</w:t>
      </w:r>
      <w:bookmarkEnd w:id="124"/>
    </w:p>
    <w:tbl>
      <w:tblPr>
        <w:tblStyle w:val="Tabela-Siatka"/>
        <w:tblW w:w="0" w:type="auto"/>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18"/>
        <w:gridCol w:w="3218"/>
        <w:gridCol w:w="1497"/>
        <w:gridCol w:w="1498"/>
        <w:gridCol w:w="1498"/>
      </w:tblGrid>
      <w:tr w:rsidR="00477F06" w:rsidRPr="00174296" w14:paraId="4D5418B9" w14:textId="77777777" w:rsidTr="000E5272">
        <w:tc>
          <w:tcPr>
            <w:tcW w:w="1318" w:type="dxa"/>
            <w:tcBorders>
              <w:top w:val="nil"/>
              <w:bottom w:val="single" w:sz="4" w:space="0" w:color="808080" w:themeColor="background1" w:themeShade="80"/>
            </w:tcBorders>
            <w:shd w:val="clear" w:color="auto" w:fill="FFE600"/>
            <w:vAlign w:val="center"/>
          </w:tcPr>
          <w:p w14:paraId="37781AC8" w14:textId="77777777" w:rsidR="00477F06" w:rsidRPr="00602625" w:rsidRDefault="00477F06" w:rsidP="000E5272">
            <w:pPr>
              <w:spacing w:before="60" w:after="60" w:line="240" w:lineRule="auto"/>
              <w:jc w:val="center"/>
              <w:rPr>
                <w:rFonts w:eastAsia="Calibri"/>
                <w:b/>
                <w:sz w:val="18"/>
                <w:szCs w:val="18"/>
                <w:lang w:val="pl-PL"/>
              </w:rPr>
            </w:pPr>
          </w:p>
        </w:tc>
        <w:tc>
          <w:tcPr>
            <w:tcW w:w="3218" w:type="dxa"/>
            <w:tcBorders>
              <w:top w:val="nil"/>
              <w:bottom w:val="single" w:sz="4" w:space="0" w:color="808080" w:themeColor="background1" w:themeShade="80"/>
              <w:right w:val="single" w:sz="4" w:space="0" w:color="808080" w:themeColor="background1" w:themeShade="80"/>
            </w:tcBorders>
            <w:shd w:val="clear" w:color="auto" w:fill="FFE600"/>
            <w:vAlign w:val="center"/>
          </w:tcPr>
          <w:p w14:paraId="15A834EA" w14:textId="77777777" w:rsidR="00477F06" w:rsidRPr="006A51D6" w:rsidRDefault="00477F06" w:rsidP="000E5272">
            <w:pPr>
              <w:spacing w:before="60" w:after="60" w:line="240" w:lineRule="auto"/>
              <w:jc w:val="left"/>
              <w:rPr>
                <w:rFonts w:eastAsia="Calibri"/>
                <w:b/>
                <w:sz w:val="18"/>
                <w:szCs w:val="18"/>
                <w:lang w:val="pl-PL"/>
              </w:rPr>
            </w:pPr>
            <w:r>
              <w:rPr>
                <w:rFonts w:eastAsia="Calibri"/>
                <w:b/>
                <w:sz w:val="18"/>
                <w:szCs w:val="18"/>
                <w:lang w:val="pl-PL"/>
              </w:rPr>
              <w:t>Zakres odpowiedzialności</w:t>
            </w:r>
          </w:p>
        </w:tc>
        <w:tc>
          <w:tcPr>
            <w:tcW w:w="1497" w:type="dxa"/>
            <w:tcBorders>
              <w:top w:val="nil"/>
              <w:left w:val="single" w:sz="4" w:space="0" w:color="808080" w:themeColor="background1" w:themeShade="80"/>
              <w:bottom w:val="single" w:sz="4" w:space="0" w:color="808080" w:themeColor="background1" w:themeShade="80"/>
              <w:right w:val="nil"/>
            </w:tcBorders>
            <w:shd w:val="clear" w:color="auto" w:fill="FFE600"/>
            <w:vAlign w:val="center"/>
          </w:tcPr>
          <w:p w14:paraId="7102A8B5" w14:textId="77777777" w:rsidR="00477F06" w:rsidRPr="006A51D6" w:rsidRDefault="00477F06" w:rsidP="000E5272">
            <w:pPr>
              <w:pStyle w:val="EYBulletedList1"/>
              <w:numPr>
                <w:ilvl w:val="0"/>
                <w:numId w:val="0"/>
              </w:numPr>
              <w:spacing w:beforeLines="20" w:before="48" w:afterLines="20" w:after="48"/>
              <w:jc w:val="center"/>
              <w:rPr>
                <w:b/>
                <w:sz w:val="18"/>
                <w:szCs w:val="18"/>
                <w:lang w:val="pl-PL"/>
              </w:rPr>
            </w:pPr>
            <w:r w:rsidRPr="00742D29">
              <w:rPr>
                <w:b/>
                <w:noProof/>
                <w:sz w:val="18"/>
                <w:szCs w:val="18"/>
                <w:lang w:val="pl-PL" w:eastAsia="pl-PL"/>
              </w:rPr>
              <w:drawing>
                <wp:anchor distT="0" distB="0" distL="114300" distR="114300" simplePos="0" relativeHeight="251679744" behindDoc="0" locked="0" layoutInCell="1" allowOverlap="1" wp14:anchorId="49B706A7" wp14:editId="0D8720DE">
                  <wp:simplePos x="0" y="0"/>
                  <wp:positionH relativeFrom="column">
                    <wp:posOffset>784860</wp:posOffset>
                  </wp:positionH>
                  <wp:positionV relativeFrom="paragraph">
                    <wp:posOffset>45085</wp:posOffset>
                  </wp:positionV>
                  <wp:extent cx="246380" cy="190500"/>
                  <wp:effectExtent l="889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246380" cy="190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b/>
                <w:sz w:val="18"/>
                <w:szCs w:val="18"/>
                <w:lang w:val="pl-PL"/>
              </w:rPr>
              <w:t>Aktualny model opieki</w:t>
            </w:r>
          </w:p>
        </w:tc>
        <w:tc>
          <w:tcPr>
            <w:tcW w:w="1498" w:type="dxa"/>
            <w:tcBorders>
              <w:top w:val="nil"/>
              <w:left w:val="nil"/>
              <w:bottom w:val="single" w:sz="4" w:space="0" w:color="808080" w:themeColor="background1" w:themeShade="80"/>
              <w:right w:val="nil"/>
            </w:tcBorders>
            <w:shd w:val="clear" w:color="auto" w:fill="FFE600"/>
            <w:vAlign w:val="center"/>
          </w:tcPr>
          <w:p w14:paraId="0E0F0E56" w14:textId="77777777" w:rsidR="00477F06" w:rsidRDefault="00477F06" w:rsidP="000E5272">
            <w:pPr>
              <w:pStyle w:val="EYBulletedList1"/>
              <w:numPr>
                <w:ilvl w:val="0"/>
                <w:numId w:val="0"/>
              </w:numPr>
              <w:spacing w:beforeLines="20" w:before="48" w:afterLines="20" w:after="48"/>
              <w:jc w:val="center"/>
              <w:rPr>
                <w:b/>
                <w:sz w:val="18"/>
                <w:szCs w:val="18"/>
                <w:lang w:val="pl-PL"/>
              </w:rPr>
            </w:pPr>
            <w:r>
              <w:rPr>
                <w:b/>
                <w:sz w:val="18"/>
                <w:szCs w:val="18"/>
                <w:lang w:val="pl-PL"/>
              </w:rPr>
              <w:t>Krótki horyzont</w:t>
            </w:r>
          </w:p>
          <w:p w14:paraId="72A59FFA" w14:textId="77777777" w:rsidR="00477F06" w:rsidRPr="006A51D6" w:rsidRDefault="00477F06" w:rsidP="000E5272">
            <w:pPr>
              <w:pStyle w:val="EYBulletedList1"/>
              <w:numPr>
                <w:ilvl w:val="0"/>
                <w:numId w:val="0"/>
              </w:numPr>
              <w:spacing w:beforeLines="20" w:before="48" w:afterLines="20" w:after="48"/>
              <w:jc w:val="center"/>
              <w:rPr>
                <w:b/>
                <w:sz w:val="18"/>
                <w:szCs w:val="18"/>
                <w:lang w:val="pl-PL"/>
              </w:rPr>
            </w:pPr>
            <w:r>
              <w:rPr>
                <w:b/>
                <w:sz w:val="18"/>
                <w:szCs w:val="18"/>
                <w:lang w:val="pl-PL"/>
              </w:rPr>
              <w:t>- proponowany model</w:t>
            </w:r>
          </w:p>
        </w:tc>
        <w:tc>
          <w:tcPr>
            <w:tcW w:w="1498" w:type="dxa"/>
            <w:tcBorders>
              <w:top w:val="nil"/>
              <w:left w:val="nil"/>
              <w:bottom w:val="single" w:sz="4" w:space="0" w:color="808080" w:themeColor="background1" w:themeShade="80"/>
            </w:tcBorders>
            <w:shd w:val="clear" w:color="auto" w:fill="FFE600"/>
            <w:vAlign w:val="center"/>
          </w:tcPr>
          <w:p w14:paraId="56F73680" w14:textId="77777777" w:rsidR="00477F06" w:rsidRPr="00141BB1" w:rsidRDefault="00477F06" w:rsidP="000E5272">
            <w:pPr>
              <w:pStyle w:val="EYBulletedList1"/>
              <w:numPr>
                <w:ilvl w:val="0"/>
                <w:numId w:val="0"/>
              </w:numPr>
              <w:spacing w:beforeLines="20" w:before="48" w:afterLines="20" w:after="48"/>
              <w:jc w:val="center"/>
              <w:rPr>
                <w:b/>
                <w:color w:val="808080" w:themeColor="background1" w:themeShade="80"/>
                <w:sz w:val="18"/>
                <w:szCs w:val="18"/>
                <w:lang w:val="pl-PL"/>
              </w:rPr>
            </w:pPr>
            <w:r w:rsidRPr="00141BB1">
              <w:rPr>
                <w:b/>
                <w:noProof/>
                <w:color w:val="808080" w:themeColor="background1" w:themeShade="80"/>
                <w:sz w:val="18"/>
                <w:szCs w:val="18"/>
                <w:lang w:val="pl-PL" w:eastAsia="pl-PL"/>
              </w:rPr>
              <w:drawing>
                <wp:anchor distT="0" distB="0" distL="114300" distR="114300" simplePos="0" relativeHeight="251680768" behindDoc="0" locked="0" layoutInCell="1" allowOverlap="1" wp14:anchorId="1404A337" wp14:editId="10F64229">
                  <wp:simplePos x="0" y="0"/>
                  <wp:positionH relativeFrom="column">
                    <wp:posOffset>-160655</wp:posOffset>
                  </wp:positionH>
                  <wp:positionV relativeFrom="paragraph">
                    <wp:posOffset>228600</wp:posOffset>
                  </wp:positionV>
                  <wp:extent cx="246380" cy="190500"/>
                  <wp:effectExtent l="8890" t="0" r="0" b="0"/>
                  <wp:wrapNone/>
                  <wp:docPr id="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246380" cy="190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141BB1">
              <w:rPr>
                <w:b/>
                <w:color w:val="808080" w:themeColor="background1" w:themeShade="80"/>
                <w:sz w:val="18"/>
                <w:szCs w:val="18"/>
                <w:lang w:val="pl-PL"/>
              </w:rPr>
              <w:t>Długi</w:t>
            </w:r>
            <w:r w:rsidRPr="00141BB1">
              <w:rPr>
                <w:b/>
                <w:color w:val="808080" w:themeColor="background1" w:themeShade="80"/>
                <w:sz w:val="18"/>
                <w:szCs w:val="18"/>
                <w:lang w:val="pl-PL"/>
              </w:rPr>
              <w:br/>
              <w:t>horyzont</w:t>
            </w:r>
          </w:p>
          <w:p w14:paraId="64F2AFEE" w14:textId="77777777" w:rsidR="00477F06" w:rsidRPr="006A51D6" w:rsidRDefault="00477F06" w:rsidP="000E5272">
            <w:pPr>
              <w:pStyle w:val="EYBulletedList1"/>
              <w:numPr>
                <w:ilvl w:val="0"/>
                <w:numId w:val="0"/>
              </w:numPr>
              <w:spacing w:beforeLines="20" w:before="48" w:afterLines="20" w:after="48"/>
              <w:jc w:val="center"/>
              <w:rPr>
                <w:b/>
                <w:sz w:val="18"/>
                <w:szCs w:val="18"/>
                <w:lang w:val="pl-PL"/>
              </w:rPr>
            </w:pPr>
            <w:r w:rsidRPr="00141BB1">
              <w:rPr>
                <w:b/>
                <w:color w:val="808080" w:themeColor="background1" w:themeShade="80"/>
                <w:sz w:val="18"/>
                <w:szCs w:val="18"/>
                <w:lang w:val="pl-PL"/>
              </w:rPr>
              <w:t>- docelowy</w:t>
            </w:r>
            <w:r w:rsidRPr="00141BB1">
              <w:rPr>
                <w:b/>
                <w:color w:val="808080" w:themeColor="background1" w:themeShade="80"/>
                <w:sz w:val="18"/>
                <w:szCs w:val="18"/>
                <w:lang w:val="pl-PL"/>
              </w:rPr>
              <w:br/>
              <w:t>model</w:t>
            </w:r>
          </w:p>
        </w:tc>
      </w:tr>
      <w:tr w:rsidR="00477F06" w:rsidRPr="00CE79B8" w14:paraId="30BDE960" w14:textId="77777777" w:rsidTr="000E5272">
        <w:tc>
          <w:tcPr>
            <w:tcW w:w="1318" w:type="dxa"/>
            <w:tcBorders>
              <w:bottom w:val="nil"/>
            </w:tcBorders>
            <w:shd w:val="clear" w:color="auto" w:fill="auto"/>
            <w:vAlign w:val="center"/>
          </w:tcPr>
          <w:p w14:paraId="2E455430" w14:textId="77777777" w:rsidR="00477F06" w:rsidRPr="00AF1589" w:rsidRDefault="00477F06" w:rsidP="000E5272">
            <w:pPr>
              <w:pStyle w:val="EYBulletedList1"/>
              <w:numPr>
                <w:ilvl w:val="0"/>
                <w:numId w:val="0"/>
              </w:numPr>
              <w:spacing w:beforeLines="20" w:before="48" w:afterLines="20" w:after="48"/>
              <w:rPr>
                <w:sz w:val="18"/>
                <w:szCs w:val="18"/>
                <w:lang w:val="pl-PL"/>
              </w:rPr>
            </w:pPr>
            <w:r>
              <w:rPr>
                <w:sz w:val="18"/>
                <w:szCs w:val="18"/>
                <w:lang w:val="pl-PL"/>
              </w:rPr>
              <w:t>Poradnia nefrologiczna</w:t>
            </w:r>
          </w:p>
        </w:tc>
        <w:tc>
          <w:tcPr>
            <w:tcW w:w="3218" w:type="dxa"/>
            <w:tcBorders>
              <w:bottom w:val="nil"/>
            </w:tcBorders>
            <w:shd w:val="clear" w:color="auto" w:fill="auto"/>
          </w:tcPr>
          <w:p w14:paraId="34BB8D41" w14:textId="77777777" w:rsidR="00477F06"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t>Porady nefrologiczne</w:t>
            </w:r>
          </w:p>
          <w:p w14:paraId="1A26CBF6" w14:textId="0523D171" w:rsidR="00DD7214" w:rsidRPr="00DD7214" w:rsidRDefault="009968B1" w:rsidP="00F84B72">
            <w:pPr>
              <w:pStyle w:val="EYBulletedList1"/>
              <w:numPr>
                <w:ilvl w:val="0"/>
                <w:numId w:val="11"/>
              </w:numPr>
              <w:spacing w:beforeLines="20" w:before="48" w:afterLines="20" w:after="48"/>
              <w:rPr>
                <w:sz w:val="18"/>
                <w:szCs w:val="18"/>
                <w:lang w:val="pl-PL"/>
              </w:rPr>
            </w:pPr>
            <w:r>
              <w:rPr>
                <w:sz w:val="18"/>
                <w:szCs w:val="18"/>
                <w:lang w:val="pl-PL"/>
              </w:rPr>
              <w:t xml:space="preserve">Uprawnienia </w:t>
            </w:r>
            <w:r w:rsidR="00DD7214">
              <w:rPr>
                <w:sz w:val="18"/>
                <w:szCs w:val="18"/>
                <w:lang w:val="pl-PL"/>
              </w:rPr>
              <w:t xml:space="preserve">lekarza POZ </w:t>
            </w:r>
            <w:r w:rsidR="00DD7214">
              <w:rPr>
                <w:sz w:val="18"/>
                <w:szCs w:val="18"/>
                <w:lang w:val="pl-PL"/>
              </w:rPr>
              <w:br/>
              <w:t>(np. skierowania, transport, recepty 75+)</w:t>
            </w:r>
          </w:p>
          <w:p w14:paraId="5D6B4B92" w14:textId="77777777" w:rsidR="00ED18CD" w:rsidRDefault="00477F06" w:rsidP="00F84B72">
            <w:pPr>
              <w:pStyle w:val="EYBulletedList1"/>
              <w:numPr>
                <w:ilvl w:val="0"/>
                <w:numId w:val="11"/>
              </w:numPr>
              <w:spacing w:beforeLines="20" w:before="48" w:afterLines="20" w:after="48"/>
              <w:rPr>
                <w:rFonts w:eastAsia="Calibri"/>
                <w:sz w:val="18"/>
                <w:szCs w:val="18"/>
                <w:lang w:val="pl-PL"/>
              </w:rPr>
            </w:pPr>
            <w:r>
              <w:rPr>
                <w:rFonts w:eastAsia="Calibri"/>
                <w:sz w:val="18"/>
                <w:szCs w:val="18"/>
                <w:lang w:val="pl-PL"/>
              </w:rPr>
              <w:t>Leczenie niedokrwistości</w:t>
            </w:r>
          </w:p>
          <w:p w14:paraId="783F0A82" w14:textId="4A26966B" w:rsidR="00477F06" w:rsidRPr="004E62AC" w:rsidRDefault="00B6627A" w:rsidP="00F84B72">
            <w:pPr>
              <w:pStyle w:val="EYBulletedList1"/>
              <w:numPr>
                <w:ilvl w:val="0"/>
                <w:numId w:val="11"/>
              </w:numPr>
              <w:spacing w:beforeLines="20" w:before="48" w:afterLines="20" w:after="48"/>
              <w:rPr>
                <w:sz w:val="18"/>
                <w:szCs w:val="18"/>
                <w:lang w:val="pl-PL"/>
              </w:rPr>
            </w:pPr>
            <w:r>
              <w:rPr>
                <w:sz w:val="18"/>
                <w:szCs w:val="18"/>
                <w:lang w:val="pl-PL"/>
              </w:rPr>
              <w:t>Przygotowanie do zgłoszenia</w:t>
            </w:r>
            <w:r w:rsidRPr="004E62AC">
              <w:rPr>
                <w:sz w:val="18"/>
                <w:szCs w:val="18"/>
                <w:lang w:val="pl-PL"/>
              </w:rPr>
              <w:t xml:space="preserve"> </w:t>
            </w:r>
            <w:r w:rsidR="00477F06" w:rsidRPr="004E62AC">
              <w:rPr>
                <w:sz w:val="18"/>
                <w:szCs w:val="18"/>
                <w:lang w:val="pl-PL"/>
              </w:rPr>
              <w:t>do transplantacji wyprzedzającej</w:t>
            </w:r>
          </w:p>
          <w:p w14:paraId="258321B4" w14:textId="77777777" w:rsidR="00477F06" w:rsidRPr="009B4B30" w:rsidRDefault="00477F06" w:rsidP="00F84B72">
            <w:pPr>
              <w:pStyle w:val="EYBulletedList1"/>
              <w:numPr>
                <w:ilvl w:val="0"/>
                <w:numId w:val="11"/>
              </w:numPr>
              <w:spacing w:beforeLines="20" w:before="48" w:afterLines="20" w:after="48"/>
              <w:rPr>
                <w:b/>
                <w:sz w:val="18"/>
                <w:szCs w:val="18"/>
                <w:lang w:val="pl-PL"/>
              </w:rPr>
            </w:pPr>
            <w:r w:rsidRPr="009B4B30">
              <w:rPr>
                <w:b/>
                <w:sz w:val="18"/>
                <w:szCs w:val="18"/>
                <w:lang w:val="pl-PL"/>
              </w:rPr>
              <w:t>Koordynowanie opieki</w:t>
            </w:r>
          </w:p>
          <w:p w14:paraId="32B0AF43" w14:textId="77777777" w:rsidR="00477F06" w:rsidRPr="009B4B30"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lastRenderedPageBreak/>
              <w:t>Opieka dietetyka</w:t>
            </w:r>
          </w:p>
          <w:p w14:paraId="3F407202" w14:textId="77777777" w:rsidR="00477F06" w:rsidRPr="009B4B30"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t>Opieka psychologiczna</w:t>
            </w:r>
          </w:p>
          <w:p w14:paraId="26629A4F" w14:textId="77777777" w:rsidR="00477F06"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t>Edukacja pacjenta</w:t>
            </w:r>
          </w:p>
          <w:p w14:paraId="79EEC6D2" w14:textId="584E6178" w:rsidR="009968B1" w:rsidRPr="009B4B30" w:rsidRDefault="009968B1" w:rsidP="00F84B72">
            <w:pPr>
              <w:pStyle w:val="EYBulletedList1"/>
              <w:numPr>
                <w:ilvl w:val="0"/>
                <w:numId w:val="11"/>
              </w:numPr>
              <w:spacing w:beforeLines="20" w:before="48" w:afterLines="20" w:after="48"/>
              <w:rPr>
                <w:sz w:val="18"/>
                <w:szCs w:val="18"/>
                <w:lang w:val="pl-PL"/>
              </w:rPr>
            </w:pPr>
            <w:r>
              <w:rPr>
                <w:sz w:val="18"/>
                <w:szCs w:val="18"/>
                <w:lang w:val="pl-PL"/>
              </w:rPr>
              <w:t>Zabiegi fizjoterapeutyczne</w:t>
            </w:r>
          </w:p>
          <w:p w14:paraId="2FC68B89" w14:textId="77777777" w:rsidR="00477F06" w:rsidRPr="009B4B30"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t>Opieka diabetologiczna</w:t>
            </w:r>
          </w:p>
          <w:p w14:paraId="6EE3E181" w14:textId="77777777" w:rsidR="00477F06" w:rsidRPr="009B4B30"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t>Opieka kardiologiczna</w:t>
            </w:r>
          </w:p>
          <w:p w14:paraId="6F440A32" w14:textId="77777777" w:rsidR="00477F06" w:rsidRPr="009B4B30" w:rsidRDefault="00477F06" w:rsidP="00F84B72">
            <w:pPr>
              <w:pStyle w:val="EYBulletedList1"/>
              <w:numPr>
                <w:ilvl w:val="0"/>
                <w:numId w:val="11"/>
              </w:numPr>
              <w:spacing w:beforeLines="20" w:before="48" w:afterLines="20" w:after="48"/>
              <w:rPr>
                <w:sz w:val="18"/>
                <w:szCs w:val="18"/>
                <w:lang w:val="pl-PL"/>
              </w:rPr>
            </w:pPr>
            <w:r w:rsidRPr="009B4B30">
              <w:rPr>
                <w:sz w:val="18"/>
                <w:szCs w:val="18"/>
                <w:lang w:val="pl-PL"/>
              </w:rPr>
              <w:t>Opieka innych specjalistów</w:t>
            </w:r>
          </w:p>
        </w:tc>
        <w:tc>
          <w:tcPr>
            <w:tcW w:w="1497" w:type="dxa"/>
            <w:tcBorders>
              <w:bottom w:val="nil"/>
              <w:right w:val="single" w:sz="4" w:space="0" w:color="808080" w:themeColor="background1" w:themeShade="80"/>
            </w:tcBorders>
            <w:shd w:val="clear" w:color="auto" w:fill="auto"/>
          </w:tcPr>
          <w:p w14:paraId="204800D3" w14:textId="77777777" w:rsidR="00477F06"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lastRenderedPageBreak/>
              <w:t>√</w:t>
            </w:r>
          </w:p>
          <w:p w14:paraId="05545E6C" w14:textId="77777777" w:rsidR="00DD7214" w:rsidRPr="00D615C1" w:rsidRDefault="00DD7214" w:rsidP="000E5272">
            <w:pPr>
              <w:pStyle w:val="EYBulletedList1"/>
              <w:numPr>
                <w:ilvl w:val="0"/>
                <w:numId w:val="0"/>
              </w:numPr>
              <w:spacing w:beforeLines="20" w:before="48" w:afterLines="25" w:after="60"/>
              <w:jc w:val="center"/>
              <w:rPr>
                <w:b/>
                <w:sz w:val="18"/>
                <w:szCs w:val="18"/>
                <w:lang w:val="pl-PL"/>
              </w:rPr>
            </w:pPr>
            <w:r>
              <w:rPr>
                <w:b/>
                <w:sz w:val="18"/>
                <w:szCs w:val="18"/>
                <w:lang w:val="pl-PL"/>
              </w:rPr>
              <w:t>x</w:t>
            </w:r>
          </w:p>
          <w:p w14:paraId="10B6F874" w14:textId="77777777" w:rsidR="00DD7214" w:rsidRDefault="00DD7214" w:rsidP="00ED18CD">
            <w:pPr>
              <w:pStyle w:val="EYBulletedList1"/>
              <w:numPr>
                <w:ilvl w:val="0"/>
                <w:numId w:val="0"/>
              </w:numPr>
              <w:spacing w:beforeLines="20" w:before="48" w:afterLines="25" w:after="60"/>
              <w:jc w:val="center"/>
              <w:rPr>
                <w:b/>
                <w:sz w:val="18"/>
                <w:szCs w:val="18"/>
                <w:lang w:val="pl-PL"/>
              </w:rPr>
            </w:pPr>
          </w:p>
          <w:p w14:paraId="56663BDA" w14:textId="77777777" w:rsidR="00DD7214" w:rsidRDefault="00DD7214" w:rsidP="004E62AC">
            <w:pPr>
              <w:pStyle w:val="EYBulletedList1"/>
              <w:numPr>
                <w:ilvl w:val="0"/>
                <w:numId w:val="0"/>
              </w:numPr>
              <w:spacing w:beforeLines="20" w:before="48" w:afterLines="25" w:after="60"/>
              <w:rPr>
                <w:b/>
                <w:sz w:val="18"/>
                <w:szCs w:val="18"/>
                <w:lang w:val="pl-PL"/>
              </w:rPr>
            </w:pPr>
          </w:p>
          <w:p w14:paraId="2B12FF80" w14:textId="77777777" w:rsidR="00D07BE5" w:rsidRDefault="00ED18CD" w:rsidP="004E62AC">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12E09B28" w14:textId="77777777" w:rsidR="00F9019B" w:rsidRDefault="00F9019B">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4DAD1636" w14:textId="77777777" w:rsidR="00477F06" w:rsidRPr="00D615C1" w:rsidRDefault="00477F06">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0439F6CE"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lastRenderedPageBreak/>
              <w:t>X</w:t>
            </w:r>
          </w:p>
          <w:p w14:paraId="3EBDE081"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155A7A06"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4B0804C2" w14:textId="77777777" w:rsidR="00477F06"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51FE2A1C" w14:textId="1EA25522" w:rsidR="009968B1" w:rsidRPr="00D615C1" w:rsidRDefault="009968B1" w:rsidP="000E5272">
            <w:pPr>
              <w:pStyle w:val="EYBulletedList1"/>
              <w:numPr>
                <w:ilvl w:val="0"/>
                <w:numId w:val="0"/>
              </w:numPr>
              <w:spacing w:beforeLines="20" w:before="48" w:afterLines="25" w:after="60"/>
              <w:jc w:val="center"/>
              <w:rPr>
                <w:b/>
                <w:sz w:val="18"/>
                <w:szCs w:val="18"/>
                <w:lang w:val="pl-PL"/>
              </w:rPr>
            </w:pPr>
            <w:r>
              <w:rPr>
                <w:b/>
                <w:sz w:val="18"/>
                <w:szCs w:val="18"/>
                <w:lang w:val="pl-PL"/>
              </w:rPr>
              <w:t>x</w:t>
            </w:r>
          </w:p>
          <w:p w14:paraId="0DAB5262"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00842D28"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t>X</w:t>
            </w:r>
          </w:p>
          <w:p w14:paraId="69C509CE" w14:textId="6018F6CF" w:rsidR="00477F06" w:rsidRPr="00D615C1" w:rsidRDefault="00477F06" w:rsidP="00477F06">
            <w:pPr>
              <w:pStyle w:val="EYBulletedList1"/>
              <w:numPr>
                <w:ilvl w:val="0"/>
                <w:numId w:val="0"/>
              </w:numPr>
              <w:spacing w:beforeLines="20" w:before="48" w:afterLines="25" w:after="60"/>
              <w:jc w:val="center"/>
              <w:rPr>
                <w:b/>
                <w:sz w:val="18"/>
                <w:szCs w:val="18"/>
                <w:lang w:val="pl-PL"/>
              </w:rPr>
            </w:pPr>
          </w:p>
        </w:tc>
        <w:tc>
          <w:tcPr>
            <w:tcW w:w="1498" w:type="dxa"/>
            <w:tcBorders>
              <w:top w:val="nil"/>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47161F78" w14:textId="77777777" w:rsidR="00477F06"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lastRenderedPageBreak/>
              <w:t>√</w:t>
            </w:r>
          </w:p>
          <w:p w14:paraId="36C218A9" w14:textId="77777777" w:rsidR="00DD7214" w:rsidRPr="004E62AC" w:rsidRDefault="00DD7214">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4F38CB9C" w14:textId="77777777" w:rsidR="00DD7214" w:rsidRDefault="00DD7214" w:rsidP="00ED18CD">
            <w:pPr>
              <w:pStyle w:val="EYBulletedList1"/>
              <w:numPr>
                <w:ilvl w:val="0"/>
                <w:numId w:val="0"/>
              </w:numPr>
              <w:spacing w:beforeLines="20" w:before="48" w:afterLines="25" w:after="60"/>
              <w:jc w:val="center"/>
              <w:rPr>
                <w:b/>
                <w:color w:val="00B050"/>
                <w:sz w:val="18"/>
                <w:szCs w:val="18"/>
                <w:lang w:val="pl-PL"/>
              </w:rPr>
            </w:pPr>
          </w:p>
          <w:p w14:paraId="50E7ECB3" w14:textId="77777777" w:rsidR="00DD7214" w:rsidRDefault="00DD7214" w:rsidP="00ED18CD">
            <w:pPr>
              <w:pStyle w:val="EYBulletedList1"/>
              <w:numPr>
                <w:ilvl w:val="0"/>
                <w:numId w:val="0"/>
              </w:numPr>
              <w:spacing w:beforeLines="20" w:before="48" w:afterLines="25" w:after="60"/>
              <w:jc w:val="center"/>
              <w:rPr>
                <w:b/>
                <w:color w:val="00B050"/>
                <w:sz w:val="18"/>
                <w:szCs w:val="18"/>
                <w:lang w:val="pl-PL"/>
              </w:rPr>
            </w:pPr>
          </w:p>
          <w:p w14:paraId="6C705E60" w14:textId="77777777" w:rsidR="00DD7214" w:rsidRDefault="004E62AC" w:rsidP="004E62AC">
            <w:pPr>
              <w:pStyle w:val="EYBulletedList1"/>
              <w:numPr>
                <w:ilvl w:val="0"/>
                <w:numId w:val="0"/>
              </w:numPr>
              <w:spacing w:beforeLines="20" w:before="48" w:afterLines="25" w:after="60"/>
              <w:jc w:val="center"/>
              <w:rPr>
                <w:b/>
                <w:color w:val="00B050"/>
                <w:sz w:val="18"/>
                <w:szCs w:val="18"/>
                <w:lang w:val="pl-PL"/>
              </w:rPr>
            </w:pPr>
            <w:r>
              <w:rPr>
                <w:b/>
                <w:color w:val="00B050"/>
                <w:sz w:val="18"/>
                <w:szCs w:val="18"/>
                <w:lang w:val="pl-PL"/>
              </w:rPr>
              <w:t>√</w:t>
            </w:r>
          </w:p>
          <w:p w14:paraId="2DE1706D" w14:textId="77777777" w:rsidR="00477F06" w:rsidRPr="00AB1BAE" w:rsidRDefault="00477F06">
            <w:pPr>
              <w:pStyle w:val="EYBulletedList1"/>
              <w:numPr>
                <w:ilvl w:val="0"/>
                <w:numId w:val="0"/>
              </w:numPr>
              <w:spacing w:beforeLines="20" w:before="48" w:afterLines="25" w:after="60"/>
              <w:jc w:val="center"/>
              <w:rPr>
                <w:b/>
                <w:color w:val="00B050"/>
                <w:sz w:val="18"/>
                <w:szCs w:val="18"/>
                <w:lang w:val="pl-PL"/>
              </w:rPr>
            </w:pPr>
            <w:r>
              <w:rPr>
                <w:b/>
                <w:color w:val="00B050"/>
                <w:sz w:val="18"/>
                <w:szCs w:val="18"/>
                <w:lang w:val="pl-PL"/>
              </w:rPr>
              <w:t>√</w:t>
            </w:r>
          </w:p>
          <w:p w14:paraId="3CA2E0A3" w14:textId="77777777" w:rsidR="00477F06" w:rsidRPr="00D615C1" w:rsidRDefault="00477F06" w:rsidP="000E5272">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4F909B4A" w14:textId="77777777" w:rsidR="00477F06" w:rsidRPr="00D615C1" w:rsidRDefault="00477F06" w:rsidP="000E5272">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lastRenderedPageBreak/>
              <w:t>√</w:t>
            </w:r>
          </w:p>
          <w:p w14:paraId="79A24A0F" w14:textId="77777777" w:rsidR="00477F06" w:rsidRPr="00D615C1" w:rsidRDefault="00477F06" w:rsidP="000E5272">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62001C08" w14:textId="77777777" w:rsidR="00477F06" w:rsidRDefault="00477F06" w:rsidP="000E5272">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11E535E6" w14:textId="4AA78C38" w:rsidR="009968B1" w:rsidRPr="00D615C1" w:rsidRDefault="009968B1">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39403F0A" w14:textId="77777777" w:rsidR="00477F06" w:rsidRPr="00420069" w:rsidRDefault="00477F06" w:rsidP="000E5272">
            <w:pPr>
              <w:pStyle w:val="EYBulletedList1"/>
              <w:numPr>
                <w:ilvl w:val="0"/>
                <w:numId w:val="0"/>
              </w:numPr>
              <w:spacing w:beforeLines="20" w:before="48" w:afterLines="25" w:after="60"/>
              <w:jc w:val="center"/>
              <w:rPr>
                <w:b/>
                <w:sz w:val="18"/>
                <w:szCs w:val="18"/>
                <w:lang w:val="pl-PL"/>
              </w:rPr>
            </w:pPr>
            <w:r w:rsidRPr="00420069">
              <w:rPr>
                <w:b/>
                <w:sz w:val="18"/>
                <w:szCs w:val="18"/>
                <w:lang w:val="pl-PL"/>
              </w:rPr>
              <w:t>X</w:t>
            </w:r>
          </w:p>
          <w:p w14:paraId="70BF3E31" w14:textId="77777777" w:rsidR="00477F06" w:rsidRDefault="00477F06" w:rsidP="000E5272">
            <w:pPr>
              <w:pStyle w:val="EYBulletedList1"/>
              <w:numPr>
                <w:ilvl w:val="0"/>
                <w:numId w:val="0"/>
              </w:numPr>
              <w:spacing w:beforeLines="20" w:before="48" w:afterLines="25" w:after="60"/>
              <w:jc w:val="center"/>
              <w:rPr>
                <w:b/>
                <w:sz w:val="18"/>
                <w:szCs w:val="18"/>
                <w:lang w:val="pl-PL"/>
              </w:rPr>
            </w:pPr>
            <w:r w:rsidRPr="00420069">
              <w:rPr>
                <w:b/>
                <w:sz w:val="18"/>
                <w:szCs w:val="18"/>
                <w:lang w:val="pl-PL"/>
              </w:rPr>
              <w:t>X</w:t>
            </w:r>
          </w:p>
          <w:p w14:paraId="73C1DCA7" w14:textId="77777777" w:rsidR="00477F06" w:rsidRDefault="00477F06" w:rsidP="00477F06">
            <w:pPr>
              <w:pStyle w:val="EYBulletedList1"/>
              <w:numPr>
                <w:ilvl w:val="0"/>
                <w:numId w:val="0"/>
              </w:numPr>
              <w:spacing w:beforeLines="20" w:before="48" w:afterLines="25" w:after="60"/>
              <w:jc w:val="center"/>
              <w:rPr>
                <w:b/>
                <w:sz w:val="18"/>
                <w:szCs w:val="18"/>
                <w:lang w:val="pl-PL"/>
              </w:rPr>
            </w:pPr>
            <w:r w:rsidRPr="00420069">
              <w:rPr>
                <w:b/>
                <w:sz w:val="18"/>
                <w:szCs w:val="18"/>
                <w:lang w:val="pl-PL"/>
              </w:rPr>
              <w:t>X</w:t>
            </w:r>
          </w:p>
          <w:p w14:paraId="6F3AE06F" w14:textId="38C153E4" w:rsidR="00477F06" w:rsidRPr="00D615C1" w:rsidRDefault="00477F06" w:rsidP="00477F06">
            <w:pPr>
              <w:pStyle w:val="EYBulletedList1"/>
              <w:numPr>
                <w:ilvl w:val="0"/>
                <w:numId w:val="0"/>
              </w:numPr>
              <w:spacing w:beforeLines="20" w:before="48" w:afterLines="25" w:after="60"/>
              <w:jc w:val="center"/>
              <w:rPr>
                <w:b/>
                <w:sz w:val="18"/>
                <w:szCs w:val="18"/>
                <w:lang w:val="pl-PL"/>
              </w:rPr>
            </w:pPr>
          </w:p>
        </w:tc>
        <w:tc>
          <w:tcPr>
            <w:tcW w:w="1498" w:type="dxa"/>
            <w:tcBorders>
              <w:top w:val="nil"/>
              <w:left w:val="single" w:sz="4" w:space="0" w:color="808080" w:themeColor="background1" w:themeShade="80"/>
              <w:bottom w:val="nil"/>
            </w:tcBorders>
            <w:shd w:val="clear" w:color="auto" w:fill="auto"/>
          </w:tcPr>
          <w:p w14:paraId="40C10693"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lastRenderedPageBreak/>
              <w:t>√</w:t>
            </w:r>
          </w:p>
          <w:p w14:paraId="4825FFCE" w14:textId="77777777" w:rsidR="00DD7214" w:rsidRDefault="00ED18CD" w:rsidP="00ED18CD">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r w:rsidR="00DD7214">
              <w:rPr>
                <w:b/>
                <w:sz w:val="18"/>
                <w:szCs w:val="18"/>
                <w:lang w:val="pl-PL"/>
              </w:rPr>
              <w:br/>
            </w:r>
          </w:p>
          <w:p w14:paraId="74D369D5" w14:textId="77777777" w:rsidR="00DD7214" w:rsidRDefault="00DD7214" w:rsidP="00ED18CD">
            <w:pPr>
              <w:pStyle w:val="EYBulletedList1"/>
              <w:numPr>
                <w:ilvl w:val="0"/>
                <w:numId w:val="0"/>
              </w:numPr>
              <w:spacing w:beforeLines="20" w:before="48" w:afterLines="25" w:after="60"/>
              <w:jc w:val="center"/>
              <w:rPr>
                <w:b/>
                <w:sz w:val="18"/>
                <w:szCs w:val="18"/>
                <w:lang w:val="pl-PL"/>
              </w:rPr>
            </w:pPr>
          </w:p>
          <w:p w14:paraId="6D901513" w14:textId="77777777" w:rsidR="00DD7214" w:rsidRDefault="00DD7214" w:rsidP="004E62AC">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4B856E1E" w14:textId="77777777" w:rsidR="00477F06" w:rsidRPr="00D615C1" w:rsidRDefault="00477F06">
            <w:pPr>
              <w:pStyle w:val="EYBulletedList1"/>
              <w:numPr>
                <w:ilvl w:val="0"/>
                <w:numId w:val="0"/>
              </w:numPr>
              <w:spacing w:beforeLines="20" w:before="48" w:afterLines="25" w:after="60"/>
              <w:jc w:val="center"/>
              <w:rPr>
                <w:b/>
                <w:sz w:val="18"/>
                <w:szCs w:val="18"/>
                <w:lang w:val="pl-PL"/>
              </w:rPr>
            </w:pPr>
            <w:r>
              <w:rPr>
                <w:b/>
                <w:sz w:val="18"/>
                <w:szCs w:val="18"/>
                <w:lang w:val="pl-PL"/>
              </w:rPr>
              <w:t>√</w:t>
            </w:r>
          </w:p>
          <w:p w14:paraId="58DE443F" w14:textId="77777777" w:rsidR="00477F06" w:rsidRPr="00D615C1" w:rsidRDefault="00477F06" w:rsidP="000E5272">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61ED0C70" w14:textId="77777777" w:rsidR="00477F06" w:rsidRPr="00D615C1" w:rsidRDefault="006314E5" w:rsidP="006314E5">
            <w:pPr>
              <w:pStyle w:val="EYBulletedList1"/>
              <w:numPr>
                <w:ilvl w:val="0"/>
                <w:numId w:val="0"/>
              </w:numPr>
              <w:spacing w:beforeLines="20" w:before="48" w:afterLines="25" w:after="60"/>
              <w:jc w:val="center"/>
              <w:rPr>
                <w:b/>
                <w:sz w:val="18"/>
                <w:szCs w:val="18"/>
                <w:lang w:val="pl-PL"/>
              </w:rPr>
            </w:pPr>
            <w:r>
              <w:rPr>
                <w:b/>
                <w:sz w:val="18"/>
                <w:szCs w:val="18"/>
                <w:lang w:val="pl-PL"/>
              </w:rPr>
              <w:lastRenderedPageBreak/>
              <w:t>√</w:t>
            </w:r>
          </w:p>
          <w:p w14:paraId="5E02FF93" w14:textId="77777777" w:rsidR="00477F06" w:rsidRDefault="00477F06" w:rsidP="000E5272">
            <w:pPr>
              <w:pStyle w:val="EYBulletedList1"/>
              <w:numPr>
                <w:ilvl w:val="0"/>
                <w:numId w:val="0"/>
              </w:numPr>
              <w:spacing w:beforeLines="20" w:before="48" w:afterLines="25" w:after="60"/>
              <w:jc w:val="center"/>
              <w:rPr>
                <w:b/>
                <w:color w:val="00B050"/>
                <w:sz w:val="18"/>
                <w:szCs w:val="18"/>
                <w:lang w:val="pl-PL"/>
              </w:rPr>
            </w:pPr>
            <w:r w:rsidRPr="00D615C1">
              <w:rPr>
                <w:b/>
                <w:sz w:val="18"/>
                <w:szCs w:val="18"/>
                <w:lang w:val="pl-PL"/>
              </w:rPr>
              <w:t>√</w:t>
            </w:r>
          </w:p>
          <w:p w14:paraId="341390E8" w14:textId="77777777" w:rsidR="00F9019B" w:rsidRDefault="00F9019B" w:rsidP="00F9019B">
            <w:pPr>
              <w:pStyle w:val="EYBulletedList1"/>
              <w:numPr>
                <w:ilvl w:val="0"/>
                <w:numId w:val="0"/>
              </w:numPr>
              <w:spacing w:beforeLines="20" w:before="48" w:afterLines="25" w:after="60"/>
              <w:jc w:val="center"/>
              <w:rPr>
                <w:b/>
                <w:sz w:val="18"/>
                <w:szCs w:val="18"/>
                <w:lang w:val="pl-PL"/>
              </w:rPr>
            </w:pPr>
            <w:r w:rsidRPr="00D615C1">
              <w:rPr>
                <w:b/>
                <w:sz w:val="18"/>
                <w:szCs w:val="18"/>
                <w:lang w:val="pl-PL"/>
              </w:rPr>
              <w:t>√</w:t>
            </w:r>
          </w:p>
          <w:p w14:paraId="5AEE6582" w14:textId="028F52D6" w:rsidR="009968B1" w:rsidRDefault="009968B1">
            <w:pPr>
              <w:pStyle w:val="EYBulletedList1"/>
              <w:numPr>
                <w:ilvl w:val="0"/>
                <w:numId w:val="0"/>
              </w:numPr>
              <w:spacing w:beforeLines="20" w:before="48" w:afterLines="25" w:after="60"/>
              <w:jc w:val="center"/>
              <w:rPr>
                <w:b/>
                <w:color w:val="00B050"/>
                <w:sz w:val="18"/>
                <w:szCs w:val="18"/>
                <w:lang w:val="pl-PL"/>
              </w:rPr>
            </w:pPr>
            <w:r w:rsidRPr="00D615C1">
              <w:rPr>
                <w:b/>
                <w:sz w:val="18"/>
                <w:szCs w:val="18"/>
                <w:lang w:val="pl-PL"/>
              </w:rPr>
              <w:t>√</w:t>
            </w:r>
          </w:p>
          <w:p w14:paraId="6DAADA56" w14:textId="77777777" w:rsidR="00477F06" w:rsidRPr="00D615C1" w:rsidRDefault="00477F06" w:rsidP="000E5272">
            <w:pPr>
              <w:pStyle w:val="EYBulletedList1"/>
              <w:numPr>
                <w:ilvl w:val="0"/>
                <w:numId w:val="0"/>
              </w:numPr>
              <w:spacing w:beforeLines="20" w:before="48" w:afterLines="25" w:after="60"/>
              <w:jc w:val="center"/>
              <w:rPr>
                <w:b/>
                <w:color w:val="00B050"/>
                <w:sz w:val="18"/>
                <w:szCs w:val="18"/>
                <w:lang w:val="pl-PL"/>
              </w:rPr>
            </w:pPr>
            <w:r w:rsidRPr="00D615C1">
              <w:rPr>
                <w:b/>
                <w:color w:val="00B050"/>
                <w:sz w:val="18"/>
                <w:szCs w:val="18"/>
                <w:lang w:val="pl-PL"/>
              </w:rPr>
              <w:t>√</w:t>
            </w:r>
          </w:p>
          <w:p w14:paraId="4E870F13" w14:textId="77777777" w:rsidR="00477F06" w:rsidRPr="00D615C1" w:rsidRDefault="00477F06" w:rsidP="000E5272">
            <w:pPr>
              <w:pStyle w:val="EYBulletedList1"/>
              <w:numPr>
                <w:ilvl w:val="0"/>
                <w:numId w:val="0"/>
              </w:numPr>
              <w:spacing w:beforeLines="20" w:before="48" w:afterLines="20" w:after="48"/>
              <w:jc w:val="center"/>
              <w:rPr>
                <w:b/>
                <w:color w:val="00B050"/>
                <w:sz w:val="18"/>
                <w:szCs w:val="18"/>
                <w:lang w:val="pl-PL"/>
              </w:rPr>
            </w:pPr>
            <w:r w:rsidRPr="00D615C1">
              <w:rPr>
                <w:b/>
                <w:color w:val="00B050"/>
                <w:sz w:val="18"/>
                <w:szCs w:val="18"/>
                <w:lang w:val="pl-PL"/>
              </w:rPr>
              <w:t>√</w:t>
            </w:r>
          </w:p>
          <w:p w14:paraId="2E5A333B" w14:textId="77777777" w:rsidR="00477F06" w:rsidRDefault="00477F06" w:rsidP="00477F06">
            <w:pPr>
              <w:pStyle w:val="EYBulletedList1"/>
              <w:numPr>
                <w:ilvl w:val="0"/>
                <w:numId w:val="0"/>
              </w:numPr>
              <w:spacing w:beforeLines="20" w:before="48" w:afterLines="20" w:after="48"/>
              <w:jc w:val="center"/>
              <w:rPr>
                <w:b/>
                <w:color w:val="00B050"/>
                <w:sz w:val="18"/>
                <w:szCs w:val="18"/>
                <w:lang w:val="pl-PL"/>
              </w:rPr>
            </w:pPr>
            <w:r w:rsidRPr="00D615C1">
              <w:rPr>
                <w:b/>
                <w:color w:val="00B050"/>
                <w:sz w:val="18"/>
                <w:szCs w:val="18"/>
                <w:lang w:val="pl-PL"/>
              </w:rPr>
              <w:t>√</w:t>
            </w:r>
          </w:p>
          <w:p w14:paraId="556C246A" w14:textId="6BBC32DC" w:rsidR="00477F06" w:rsidRPr="00174296" w:rsidRDefault="00477F06" w:rsidP="00477F06">
            <w:pPr>
              <w:pStyle w:val="EYBulletedList1"/>
              <w:numPr>
                <w:ilvl w:val="0"/>
                <w:numId w:val="0"/>
              </w:numPr>
              <w:spacing w:beforeLines="20" w:before="48" w:afterLines="20" w:after="48"/>
              <w:jc w:val="center"/>
              <w:rPr>
                <w:b/>
                <w:color w:val="00B050"/>
                <w:sz w:val="18"/>
                <w:szCs w:val="18"/>
                <w:lang w:val="pl-PL"/>
              </w:rPr>
            </w:pPr>
          </w:p>
        </w:tc>
      </w:tr>
      <w:tr w:rsidR="00477F06" w:rsidRPr="004E62AC" w14:paraId="20C1D639" w14:textId="77777777" w:rsidTr="000E5272">
        <w:tc>
          <w:tcPr>
            <w:tcW w:w="9029" w:type="dxa"/>
            <w:gridSpan w:val="5"/>
            <w:tcBorders>
              <w:top w:val="nil"/>
              <w:bottom w:val="nil"/>
            </w:tcBorders>
            <w:shd w:val="clear" w:color="auto" w:fill="auto"/>
            <w:vAlign w:val="center"/>
          </w:tcPr>
          <w:p w14:paraId="00AECCD0" w14:textId="77777777" w:rsidR="00477F06" w:rsidRDefault="00477F06" w:rsidP="000E5272">
            <w:pPr>
              <w:pStyle w:val="EYBulletedList1"/>
              <w:numPr>
                <w:ilvl w:val="0"/>
                <w:numId w:val="0"/>
              </w:numPr>
              <w:spacing w:before="0" w:after="0" w:line="240" w:lineRule="auto"/>
              <w:rPr>
                <w:sz w:val="16"/>
                <w:szCs w:val="18"/>
                <w:lang w:val="pl-PL"/>
              </w:rPr>
            </w:pPr>
          </w:p>
          <w:p w14:paraId="4CF3FF3C" w14:textId="77777777" w:rsidR="00477F06" w:rsidRDefault="00477F06" w:rsidP="000E5272">
            <w:pPr>
              <w:pStyle w:val="EYBulletedList1"/>
              <w:numPr>
                <w:ilvl w:val="0"/>
                <w:numId w:val="0"/>
              </w:numPr>
              <w:spacing w:before="0" w:after="0" w:line="240" w:lineRule="auto"/>
              <w:ind w:left="5279"/>
              <w:rPr>
                <w:b/>
                <w:sz w:val="16"/>
                <w:szCs w:val="18"/>
                <w:lang w:val="pl-PL"/>
              </w:rPr>
            </w:pPr>
          </w:p>
          <w:p w14:paraId="47937910" w14:textId="77777777" w:rsidR="00477F06" w:rsidRPr="00141BB1" w:rsidRDefault="00477F06" w:rsidP="000E5272">
            <w:pPr>
              <w:pStyle w:val="EYBulletedList1"/>
              <w:numPr>
                <w:ilvl w:val="0"/>
                <w:numId w:val="0"/>
              </w:numPr>
              <w:spacing w:before="0" w:after="0" w:line="240" w:lineRule="auto"/>
              <w:ind w:left="5279"/>
              <w:rPr>
                <w:b/>
                <w:sz w:val="16"/>
                <w:szCs w:val="18"/>
                <w:lang w:val="pl-PL"/>
              </w:rPr>
            </w:pPr>
            <w:r w:rsidRPr="00141BB1">
              <w:rPr>
                <w:b/>
                <w:sz w:val="16"/>
                <w:szCs w:val="18"/>
                <w:lang w:val="pl-PL"/>
              </w:rPr>
              <w:t>Legenda:</w:t>
            </w:r>
          </w:p>
          <w:p w14:paraId="7F983F10" w14:textId="77777777" w:rsidR="00477F06" w:rsidRPr="00141BB1" w:rsidRDefault="00477F06" w:rsidP="000E5272">
            <w:pPr>
              <w:pStyle w:val="EYBulletedList1"/>
              <w:numPr>
                <w:ilvl w:val="0"/>
                <w:numId w:val="0"/>
              </w:numPr>
              <w:spacing w:before="0" w:after="0" w:line="240" w:lineRule="auto"/>
              <w:ind w:left="5279"/>
              <w:rPr>
                <w:sz w:val="16"/>
                <w:szCs w:val="18"/>
                <w:lang w:val="pl-PL"/>
              </w:rPr>
            </w:pPr>
            <w:r w:rsidRPr="00141BB1">
              <w:rPr>
                <w:b/>
                <w:sz w:val="16"/>
                <w:szCs w:val="18"/>
                <w:lang w:val="pl-PL"/>
              </w:rPr>
              <w:t>√</w:t>
            </w:r>
            <w:r w:rsidRPr="00141BB1">
              <w:rPr>
                <w:sz w:val="16"/>
                <w:szCs w:val="18"/>
                <w:lang w:val="pl-PL"/>
              </w:rPr>
              <w:t xml:space="preserve">      </w:t>
            </w:r>
            <w:r>
              <w:rPr>
                <w:sz w:val="16"/>
                <w:szCs w:val="18"/>
                <w:lang w:val="pl-PL"/>
              </w:rPr>
              <w:t xml:space="preserve"> </w:t>
            </w:r>
            <w:r w:rsidRPr="00141BB1">
              <w:rPr>
                <w:sz w:val="16"/>
                <w:szCs w:val="18"/>
                <w:lang w:val="pl-PL"/>
              </w:rPr>
              <w:t xml:space="preserve"> w zakresie odpowiedzialności</w:t>
            </w:r>
          </w:p>
          <w:p w14:paraId="0EB84A5E" w14:textId="77777777" w:rsidR="00477F06" w:rsidRPr="00141BB1" w:rsidRDefault="00477F06" w:rsidP="000E5272">
            <w:pPr>
              <w:pStyle w:val="EYBulletedList1"/>
              <w:numPr>
                <w:ilvl w:val="0"/>
                <w:numId w:val="0"/>
              </w:numPr>
              <w:spacing w:before="0" w:after="0" w:line="240" w:lineRule="auto"/>
              <w:ind w:left="5279"/>
              <w:rPr>
                <w:sz w:val="16"/>
                <w:szCs w:val="18"/>
                <w:lang w:val="pl-PL"/>
              </w:rPr>
            </w:pPr>
            <w:r w:rsidRPr="00141BB1">
              <w:rPr>
                <w:b/>
                <w:sz w:val="16"/>
                <w:szCs w:val="18"/>
                <w:lang w:val="pl-PL"/>
              </w:rPr>
              <w:t>√/X</w:t>
            </w:r>
            <w:r w:rsidRPr="00141BB1">
              <w:rPr>
                <w:sz w:val="16"/>
                <w:szCs w:val="18"/>
                <w:lang w:val="pl-PL"/>
              </w:rPr>
              <w:t xml:space="preserve">   </w:t>
            </w:r>
            <w:r>
              <w:rPr>
                <w:sz w:val="16"/>
                <w:szCs w:val="18"/>
                <w:lang w:val="pl-PL"/>
              </w:rPr>
              <w:t xml:space="preserve"> </w:t>
            </w:r>
            <w:r w:rsidRPr="00141BB1">
              <w:rPr>
                <w:sz w:val="16"/>
                <w:szCs w:val="18"/>
                <w:lang w:val="pl-PL"/>
              </w:rPr>
              <w:t>częściowo w zakresie odpowiedzialności</w:t>
            </w:r>
          </w:p>
          <w:p w14:paraId="4F09ADDF" w14:textId="77777777" w:rsidR="00477F06" w:rsidRPr="00141BB1" w:rsidRDefault="00477F06" w:rsidP="000E5272">
            <w:pPr>
              <w:pStyle w:val="EYBulletedList1"/>
              <w:numPr>
                <w:ilvl w:val="0"/>
                <w:numId w:val="0"/>
              </w:numPr>
              <w:spacing w:before="0" w:after="0" w:line="240" w:lineRule="auto"/>
              <w:ind w:left="5279"/>
              <w:rPr>
                <w:sz w:val="16"/>
                <w:szCs w:val="18"/>
                <w:lang w:val="pl-PL"/>
              </w:rPr>
            </w:pPr>
            <w:r w:rsidRPr="00141BB1">
              <w:rPr>
                <w:b/>
                <w:sz w:val="16"/>
                <w:szCs w:val="18"/>
                <w:lang w:val="pl-PL"/>
              </w:rPr>
              <w:t>X</w:t>
            </w:r>
            <w:r w:rsidRPr="00141BB1">
              <w:rPr>
                <w:sz w:val="16"/>
                <w:szCs w:val="18"/>
                <w:lang w:val="pl-PL"/>
              </w:rPr>
              <w:t xml:space="preserve">       </w:t>
            </w:r>
            <w:r>
              <w:rPr>
                <w:sz w:val="16"/>
                <w:szCs w:val="18"/>
                <w:lang w:val="pl-PL"/>
              </w:rPr>
              <w:t xml:space="preserve"> </w:t>
            </w:r>
            <w:r w:rsidRPr="00141BB1">
              <w:rPr>
                <w:sz w:val="16"/>
                <w:szCs w:val="18"/>
                <w:lang w:val="pl-PL"/>
              </w:rPr>
              <w:t>poza zakresem odpowiedzialności</w:t>
            </w:r>
          </w:p>
          <w:p w14:paraId="416026EB" w14:textId="77777777" w:rsidR="00477F06" w:rsidRPr="00141BB1" w:rsidRDefault="00477F06" w:rsidP="000E5272">
            <w:pPr>
              <w:pStyle w:val="EYBulletedList1"/>
              <w:numPr>
                <w:ilvl w:val="0"/>
                <w:numId w:val="0"/>
              </w:numPr>
              <w:spacing w:before="0" w:after="0" w:line="240" w:lineRule="auto"/>
              <w:ind w:left="5279"/>
              <w:rPr>
                <w:sz w:val="16"/>
                <w:szCs w:val="18"/>
                <w:lang w:val="pl-PL"/>
              </w:rPr>
            </w:pPr>
            <w:r w:rsidRPr="00141BB1">
              <w:rPr>
                <w:b/>
                <w:color w:val="00B050"/>
                <w:sz w:val="16"/>
                <w:szCs w:val="18"/>
                <w:lang w:val="pl-PL"/>
              </w:rPr>
              <w:t>√</w:t>
            </w:r>
            <w:r w:rsidRPr="00141BB1">
              <w:rPr>
                <w:sz w:val="16"/>
                <w:szCs w:val="18"/>
                <w:lang w:val="pl-PL"/>
              </w:rPr>
              <w:t xml:space="preserve">       </w:t>
            </w:r>
            <w:r>
              <w:rPr>
                <w:sz w:val="16"/>
                <w:szCs w:val="18"/>
                <w:lang w:val="pl-PL"/>
              </w:rPr>
              <w:t xml:space="preserve"> </w:t>
            </w:r>
            <w:r w:rsidRPr="00141BB1">
              <w:rPr>
                <w:sz w:val="16"/>
                <w:szCs w:val="18"/>
                <w:lang w:val="pl-PL"/>
              </w:rPr>
              <w:t>włączone do zakresu odpowiedzialności</w:t>
            </w:r>
          </w:p>
        </w:tc>
      </w:tr>
    </w:tbl>
    <w:p w14:paraId="4743FBCF" w14:textId="77777777" w:rsidR="00477F06" w:rsidRPr="00725B58" w:rsidRDefault="00477F06" w:rsidP="00477F06">
      <w:pPr>
        <w:spacing w:before="0" w:after="0" w:line="240" w:lineRule="auto"/>
        <w:rPr>
          <w:rFonts w:eastAsia="Calibri"/>
          <w:sz w:val="18"/>
          <w:lang w:val="pl-PL"/>
        </w:rPr>
      </w:pPr>
      <w:r w:rsidRPr="007F20C3">
        <w:rPr>
          <w:rFonts w:eastAsia="Calibri"/>
          <w:sz w:val="18"/>
          <w:lang w:val="pl-PL"/>
        </w:rPr>
        <w:t>Źródło: Opracowanie własne EY</w:t>
      </w:r>
    </w:p>
    <w:p w14:paraId="16200965" w14:textId="67938297" w:rsidR="00477F06" w:rsidRDefault="00477F06" w:rsidP="00477F06">
      <w:pPr>
        <w:rPr>
          <w:lang w:val="pl-PL"/>
        </w:rPr>
      </w:pPr>
      <w:r>
        <w:rPr>
          <w:lang w:val="pl-PL"/>
        </w:rPr>
        <w:t xml:space="preserve">W zakresie opieki nad pacjentem </w:t>
      </w:r>
      <w:r w:rsidR="00D07BE5">
        <w:rPr>
          <w:lang w:val="pl-PL"/>
        </w:rPr>
        <w:t xml:space="preserve">w zaawansowanym stadium </w:t>
      </w:r>
      <w:proofErr w:type="spellStart"/>
      <w:r w:rsidR="00D07BE5">
        <w:rPr>
          <w:lang w:val="pl-PL"/>
        </w:rPr>
        <w:t>PChN</w:t>
      </w:r>
      <w:proofErr w:type="spellEnd"/>
      <w:r w:rsidR="000D2E46">
        <w:rPr>
          <w:lang w:val="pl-PL"/>
        </w:rPr>
        <w:t xml:space="preserve"> przed dializą </w:t>
      </w:r>
      <w:r>
        <w:rPr>
          <w:lang w:val="pl-PL"/>
        </w:rPr>
        <w:t>proponowany model opieki uwzględnia w jednostce koordynującej dotychczasow</w:t>
      </w:r>
      <w:r w:rsidR="006215CB">
        <w:rPr>
          <w:lang w:val="pl-PL"/>
        </w:rPr>
        <w:t>ą</w:t>
      </w:r>
      <w:r>
        <w:rPr>
          <w:lang w:val="pl-PL"/>
        </w:rPr>
        <w:t xml:space="preserve"> odpowiedzialnoś</w:t>
      </w:r>
      <w:r w:rsidR="006215CB">
        <w:rPr>
          <w:lang w:val="pl-PL"/>
        </w:rPr>
        <w:t>ć</w:t>
      </w:r>
      <w:r>
        <w:rPr>
          <w:lang w:val="pl-PL"/>
        </w:rPr>
        <w:t xml:space="preserve"> poradni nefrologicznych </w:t>
      </w:r>
      <w:r w:rsidR="001401A3">
        <w:rPr>
          <w:lang w:val="pl-PL"/>
        </w:rPr>
        <w:t xml:space="preserve">dla tej grupy pacjentów </w:t>
      </w:r>
      <w:r>
        <w:rPr>
          <w:lang w:val="pl-PL"/>
        </w:rPr>
        <w:t>(„</w:t>
      </w:r>
      <w:r w:rsidRPr="00043EF0">
        <w:rPr>
          <w:lang w:val="pl-PL"/>
        </w:rPr>
        <w:t>√</w:t>
      </w:r>
      <w:r>
        <w:rPr>
          <w:lang w:val="pl-PL"/>
        </w:rPr>
        <w:t xml:space="preserve">”). W zakresie </w:t>
      </w:r>
      <w:r w:rsidR="006215CB">
        <w:rPr>
          <w:lang w:val="pl-PL"/>
        </w:rPr>
        <w:t xml:space="preserve">rozszerzenia </w:t>
      </w:r>
      <w:r>
        <w:rPr>
          <w:lang w:val="pl-PL"/>
        </w:rPr>
        <w:t>odpowiedzialności w jednostce koordynującej w proponowanym modelu w krótkim horyzoncie czasowym („</w:t>
      </w:r>
      <w:r w:rsidRPr="00043EF0">
        <w:rPr>
          <w:color w:val="00B050"/>
          <w:lang w:val="pl-PL"/>
        </w:rPr>
        <w:t>√</w:t>
      </w:r>
      <w:r>
        <w:rPr>
          <w:lang w:val="pl-PL"/>
        </w:rPr>
        <w:t>”) zaleca się:</w:t>
      </w:r>
    </w:p>
    <w:p w14:paraId="66152F52" w14:textId="77777777" w:rsidR="00ED18CD" w:rsidRDefault="00ED18CD" w:rsidP="00F84B72">
      <w:pPr>
        <w:pStyle w:val="EYBulletedList1"/>
        <w:numPr>
          <w:ilvl w:val="0"/>
          <w:numId w:val="11"/>
        </w:numPr>
        <w:jc w:val="both"/>
        <w:rPr>
          <w:rFonts w:eastAsia="Calibri"/>
          <w:sz w:val="22"/>
          <w:lang w:val="pl-PL"/>
        </w:rPr>
      </w:pPr>
      <w:r>
        <w:rPr>
          <w:rFonts w:eastAsia="Calibri"/>
          <w:sz w:val="22"/>
          <w:lang w:val="pl-PL"/>
        </w:rPr>
        <w:t xml:space="preserve">rozszerzenie odpowiedzialności w zakresie leczenia niedokrwistości poprzez zniesienie programu lekowego </w:t>
      </w:r>
      <w:r w:rsidRPr="00162734">
        <w:rPr>
          <w:rFonts w:eastAsia="Calibri"/>
          <w:sz w:val="22"/>
          <w:lang w:val="pl-PL"/>
        </w:rPr>
        <w:t>„Leczenie niedokrwistości w przebiegu p</w:t>
      </w:r>
      <w:r>
        <w:rPr>
          <w:rFonts w:eastAsia="Calibri"/>
          <w:sz w:val="22"/>
          <w:lang w:val="pl-PL"/>
        </w:rPr>
        <w:t>rzewlekłej niewydolności nerek</w:t>
      </w:r>
      <w:r w:rsidRPr="00162734">
        <w:rPr>
          <w:rFonts w:eastAsia="Calibri"/>
          <w:sz w:val="22"/>
          <w:lang w:val="pl-PL"/>
        </w:rPr>
        <w:t>”</w:t>
      </w:r>
      <w:r>
        <w:rPr>
          <w:rFonts w:eastAsia="Calibri"/>
          <w:sz w:val="22"/>
          <w:lang w:val="pl-PL"/>
        </w:rPr>
        <w:t>. Proponuje się utrzymanie</w:t>
      </w:r>
      <w:r w:rsidRPr="005C580E">
        <w:rPr>
          <w:rFonts w:eastAsia="Calibri"/>
          <w:sz w:val="22"/>
          <w:lang w:val="pl-PL"/>
        </w:rPr>
        <w:t xml:space="preserve"> </w:t>
      </w:r>
      <w:r>
        <w:rPr>
          <w:rFonts w:eastAsia="Calibri"/>
          <w:sz w:val="22"/>
          <w:lang w:val="pl-PL"/>
        </w:rPr>
        <w:t xml:space="preserve">aktualnego poziomu finansowania programu, wprowadzenie wytycznych dotyczących zagregowanych wyników zdrowotnych pacjentów i realizację świadczeń w zakresie leczenia niedokrwistości dla </w:t>
      </w:r>
      <w:r w:rsidR="006215CB">
        <w:rPr>
          <w:rFonts w:eastAsia="Calibri"/>
          <w:sz w:val="22"/>
          <w:lang w:val="pl-PL"/>
        </w:rPr>
        <w:t xml:space="preserve">pacjentów w okresie przed dializą </w:t>
      </w:r>
      <w:r>
        <w:rPr>
          <w:rFonts w:eastAsia="Calibri"/>
          <w:sz w:val="22"/>
          <w:lang w:val="pl-PL"/>
        </w:rPr>
        <w:t xml:space="preserve">w zaawansowanym stadium </w:t>
      </w:r>
      <w:proofErr w:type="spellStart"/>
      <w:r>
        <w:rPr>
          <w:rFonts w:eastAsia="Calibri"/>
          <w:sz w:val="22"/>
          <w:lang w:val="pl-PL"/>
        </w:rPr>
        <w:t>PChN</w:t>
      </w:r>
      <w:proofErr w:type="spellEnd"/>
      <w:r>
        <w:rPr>
          <w:rFonts w:eastAsia="Calibri"/>
          <w:sz w:val="22"/>
          <w:lang w:val="pl-PL"/>
        </w:rPr>
        <w:t xml:space="preserve"> potrzebujących opieki w tym zakresie</w:t>
      </w:r>
    </w:p>
    <w:p w14:paraId="55C54F81" w14:textId="2DF80461" w:rsidR="00ED18CD" w:rsidRPr="00E57FF5" w:rsidRDefault="008066C8" w:rsidP="00F84B72">
      <w:pPr>
        <w:pStyle w:val="EYBulletedList1"/>
        <w:numPr>
          <w:ilvl w:val="0"/>
          <w:numId w:val="11"/>
        </w:numPr>
        <w:jc w:val="both"/>
        <w:rPr>
          <w:rFonts w:eastAsia="Calibri"/>
          <w:sz w:val="22"/>
          <w:lang w:val="pl-PL"/>
        </w:rPr>
      </w:pPr>
      <w:r w:rsidRPr="00E57FF5">
        <w:rPr>
          <w:rFonts w:eastAsia="Calibri"/>
          <w:sz w:val="22"/>
          <w:lang w:val="pl-PL"/>
        </w:rPr>
        <w:t xml:space="preserve">przekazanie odpowiedzialności za </w:t>
      </w:r>
      <w:r w:rsidR="00B6627A">
        <w:rPr>
          <w:rFonts w:eastAsia="Calibri"/>
          <w:sz w:val="22"/>
          <w:lang w:val="pl-PL"/>
        </w:rPr>
        <w:t xml:space="preserve">przygotowanie do zgłoszenia </w:t>
      </w:r>
      <w:r w:rsidRPr="00E57FF5">
        <w:rPr>
          <w:rFonts w:eastAsia="Calibri"/>
          <w:sz w:val="22"/>
          <w:lang w:val="pl-PL"/>
        </w:rPr>
        <w:t xml:space="preserve">do transplantacji wyprzedzającej. Zapewnienie w jednostce koordynującej badań na wszystkich etapach oceny możliwości zgłoszenia chorego na listę biorców </w:t>
      </w:r>
      <w:r w:rsidR="006314E5" w:rsidRPr="00E57FF5">
        <w:rPr>
          <w:rFonts w:eastAsia="Calibri"/>
          <w:sz w:val="22"/>
          <w:lang w:val="pl-PL"/>
        </w:rPr>
        <w:t>może skrócić i uprościć</w:t>
      </w:r>
      <w:r w:rsidRPr="00E57FF5">
        <w:rPr>
          <w:rFonts w:eastAsia="Calibri"/>
          <w:sz w:val="22"/>
          <w:lang w:val="pl-PL"/>
        </w:rPr>
        <w:t xml:space="preserve"> proces kwalifikacji do przeszczepienia</w:t>
      </w:r>
    </w:p>
    <w:p w14:paraId="0D87E53A" w14:textId="318C8126" w:rsidR="008066C8" w:rsidRPr="004E62AC" w:rsidRDefault="008066C8" w:rsidP="00EA04D9">
      <w:pPr>
        <w:pStyle w:val="EYBulletedList1"/>
        <w:numPr>
          <w:ilvl w:val="0"/>
          <w:numId w:val="11"/>
        </w:numPr>
        <w:jc w:val="both"/>
        <w:rPr>
          <w:rFonts w:eastAsia="Calibri"/>
          <w:color w:val="000000" w:themeColor="text1"/>
          <w:sz w:val="22"/>
          <w:lang w:val="pl-PL"/>
        </w:rPr>
      </w:pPr>
      <w:r w:rsidRPr="004E62AC">
        <w:rPr>
          <w:rFonts w:eastAsia="Calibri"/>
          <w:color w:val="000000" w:themeColor="text1"/>
          <w:sz w:val="22"/>
          <w:lang w:val="pl-PL"/>
        </w:rPr>
        <w:t xml:space="preserve">przekazanie </w:t>
      </w:r>
      <w:r w:rsidR="009968B1">
        <w:rPr>
          <w:rFonts w:eastAsia="Calibri"/>
          <w:color w:val="000000" w:themeColor="text1"/>
          <w:sz w:val="22"/>
          <w:lang w:val="pl-PL"/>
        </w:rPr>
        <w:t>uprawnień</w:t>
      </w:r>
      <w:r w:rsidR="009968B1" w:rsidRPr="004E62AC">
        <w:rPr>
          <w:rFonts w:eastAsia="Calibri"/>
          <w:color w:val="000000" w:themeColor="text1"/>
          <w:sz w:val="22"/>
          <w:lang w:val="pl-PL"/>
        </w:rPr>
        <w:t xml:space="preserve"> </w:t>
      </w:r>
      <w:r w:rsidRPr="004E62AC">
        <w:rPr>
          <w:rFonts w:eastAsia="Calibri"/>
          <w:color w:val="000000" w:themeColor="text1"/>
          <w:sz w:val="22"/>
          <w:lang w:val="pl-PL"/>
        </w:rPr>
        <w:t xml:space="preserve">lekarza POZ w celu poprawy efektywności procesu leczenia poprzez zmniejszenie </w:t>
      </w:r>
      <w:r w:rsidR="00EA04D9">
        <w:rPr>
          <w:rFonts w:eastAsia="Calibri"/>
          <w:color w:val="000000" w:themeColor="text1"/>
          <w:sz w:val="22"/>
          <w:lang w:val="pl-PL"/>
        </w:rPr>
        <w:t>liczby</w:t>
      </w:r>
      <w:r w:rsidR="00EA04D9" w:rsidRPr="004E62AC">
        <w:rPr>
          <w:rFonts w:eastAsia="Calibri"/>
          <w:color w:val="000000" w:themeColor="text1"/>
          <w:sz w:val="22"/>
          <w:lang w:val="pl-PL"/>
        </w:rPr>
        <w:t xml:space="preserve"> </w:t>
      </w:r>
      <w:r w:rsidRPr="004E62AC">
        <w:rPr>
          <w:rFonts w:eastAsia="Calibri"/>
          <w:color w:val="000000" w:themeColor="text1"/>
          <w:sz w:val="22"/>
          <w:lang w:val="pl-PL"/>
        </w:rPr>
        <w:t xml:space="preserve">wizyt w </w:t>
      </w:r>
      <w:r w:rsidR="00EA04D9">
        <w:rPr>
          <w:rFonts w:eastAsia="Calibri"/>
          <w:color w:val="000000" w:themeColor="text1"/>
          <w:sz w:val="22"/>
          <w:lang w:val="pl-PL"/>
        </w:rPr>
        <w:t>poradniach POZ</w:t>
      </w:r>
      <w:r w:rsidRPr="004E62AC">
        <w:rPr>
          <w:rFonts w:eastAsia="Calibri"/>
          <w:color w:val="000000" w:themeColor="text1"/>
          <w:sz w:val="22"/>
          <w:lang w:val="pl-PL"/>
        </w:rPr>
        <w:t xml:space="preserve"> i skrócenie czasu oczekiwania na poszczególne świadczenia. </w:t>
      </w:r>
      <w:r w:rsidR="00EA04D9" w:rsidRPr="00EA04D9">
        <w:rPr>
          <w:rFonts w:eastAsia="Calibri"/>
          <w:color w:val="000000" w:themeColor="text1"/>
          <w:sz w:val="22"/>
          <w:lang w:val="pl-PL"/>
        </w:rPr>
        <w:t xml:space="preserve">Przykładem </w:t>
      </w:r>
      <w:r w:rsidR="009968B1">
        <w:rPr>
          <w:rFonts w:eastAsia="Calibri"/>
          <w:color w:val="000000" w:themeColor="text1"/>
          <w:sz w:val="22"/>
          <w:lang w:val="pl-PL"/>
        </w:rPr>
        <w:t>uprawnień</w:t>
      </w:r>
      <w:r w:rsidR="009968B1" w:rsidRPr="00EA04D9">
        <w:rPr>
          <w:rFonts w:eastAsia="Calibri"/>
          <w:color w:val="000000" w:themeColor="text1"/>
          <w:sz w:val="22"/>
          <w:lang w:val="pl-PL"/>
        </w:rPr>
        <w:t xml:space="preserve"> </w:t>
      </w:r>
      <w:r w:rsidR="00EA04D9" w:rsidRPr="00EA04D9">
        <w:rPr>
          <w:rFonts w:eastAsia="Calibri"/>
          <w:color w:val="000000" w:themeColor="text1"/>
          <w:sz w:val="22"/>
          <w:lang w:val="pl-PL"/>
        </w:rPr>
        <w:t xml:space="preserve">POZ możliwych do przekazania jednostkom koordynującym jest np. wypisywanie skierowań na badania, zlecanie transportu medycznego czy też wypisywanie recept 75+.  </w:t>
      </w:r>
    </w:p>
    <w:p w14:paraId="3171A1FC" w14:textId="47720FE7" w:rsidR="00477F06" w:rsidRDefault="00477F06" w:rsidP="00F84B72">
      <w:pPr>
        <w:pStyle w:val="EYBulletedList1"/>
        <w:numPr>
          <w:ilvl w:val="0"/>
          <w:numId w:val="11"/>
        </w:numPr>
        <w:jc w:val="both"/>
        <w:rPr>
          <w:rFonts w:eastAsia="Calibri"/>
          <w:sz w:val="22"/>
          <w:lang w:val="pl-PL"/>
        </w:rPr>
      </w:pPr>
      <w:r>
        <w:rPr>
          <w:rFonts w:eastAsia="Calibri"/>
          <w:sz w:val="22"/>
          <w:lang w:val="pl-PL"/>
        </w:rPr>
        <w:t>powierzenie odpowiedzialności w zakresie usług aktualnie nieudzielanych w ramach świadczeń gwarantowanych finansowanych ze środków publicznych, w tym: koordynacji opieki nad chorym oraz organizacji i realizacji opieki dietetycznej, opieki psychologicznej</w:t>
      </w:r>
      <w:r w:rsidR="009424BE">
        <w:rPr>
          <w:rFonts w:eastAsia="Calibri"/>
          <w:sz w:val="22"/>
          <w:lang w:val="pl-PL"/>
        </w:rPr>
        <w:t>, fizjoterapii</w:t>
      </w:r>
      <w:r>
        <w:rPr>
          <w:rFonts w:eastAsia="Calibri"/>
          <w:sz w:val="22"/>
          <w:lang w:val="pl-PL"/>
        </w:rPr>
        <w:t xml:space="preserve"> i edukacji pacjentów. Wsparcie pacjenta w koordynacji opieki, </w:t>
      </w:r>
      <w:r w:rsidRPr="001857BE">
        <w:rPr>
          <w:rFonts w:eastAsia="Calibri"/>
          <w:sz w:val="22"/>
          <w:lang w:val="pl-PL"/>
        </w:rPr>
        <w:t xml:space="preserve">świadomość choroby, ścisłe zalecenia </w:t>
      </w:r>
      <w:r w:rsidRPr="001857BE">
        <w:rPr>
          <w:rFonts w:eastAsia="Calibri"/>
          <w:sz w:val="22"/>
          <w:lang w:val="pl-PL"/>
        </w:rPr>
        <w:lastRenderedPageBreak/>
        <w:t xml:space="preserve">dietetyczne i utrzymanie odpowiedniej kondycji psychicznej </w:t>
      </w:r>
      <w:r w:rsidR="009968B1">
        <w:rPr>
          <w:rFonts w:eastAsia="Calibri"/>
          <w:sz w:val="22"/>
          <w:lang w:val="pl-PL"/>
        </w:rPr>
        <w:t xml:space="preserve">i fizycznej </w:t>
      </w:r>
      <w:r w:rsidRPr="001857BE">
        <w:rPr>
          <w:rFonts w:eastAsia="Calibri"/>
          <w:sz w:val="22"/>
          <w:lang w:val="pl-PL"/>
        </w:rPr>
        <w:t xml:space="preserve">chorego są </w:t>
      </w:r>
      <w:r>
        <w:rPr>
          <w:rFonts w:eastAsia="Calibri"/>
          <w:sz w:val="22"/>
          <w:lang w:val="pl-PL"/>
        </w:rPr>
        <w:t xml:space="preserve">zgodne z zaleceniami dotyczącymi opieki i </w:t>
      </w:r>
      <w:r w:rsidRPr="001857BE">
        <w:rPr>
          <w:rFonts w:eastAsia="Calibri"/>
          <w:sz w:val="22"/>
          <w:lang w:val="pl-PL"/>
        </w:rPr>
        <w:t xml:space="preserve">istotne dla utrzymania dobrego stanu zdrowia pacjenta z </w:t>
      </w:r>
      <w:proofErr w:type="spellStart"/>
      <w:r w:rsidRPr="001857BE">
        <w:rPr>
          <w:rFonts w:eastAsia="Calibri"/>
          <w:sz w:val="22"/>
          <w:lang w:val="pl-PL"/>
        </w:rPr>
        <w:t>PChN</w:t>
      </w:r>
      <w:proofErr w:type="spellEnd"/>
      <w:r w:rsidRPr="00052D84">
        <w:rPr>
          <w:rStyle w:val="Odwoanieprzypisudolnego"/>
          <w:rFonts w:eastAsia="Calibri"/>
          <w:sz w:val="22"/>
          <w:lang w:val="pl-PL"/>
        </w:rPr>
        <w:footnoteReference w:id="70"/>
      </w:r>
    </w:p>
    <w:p w14:paraId="6F601810" w14:textId="2105CB54" w:rsidR="00477F06" w:rsidRDefault="00477F06" w:rsidP="00477F06">
      <w:pPr>
        <w:rPr>
          <w:lang w:val="pl-PL"/>
        </w:rPr>
      </w:pPr>
      <w:r>
        <w:rPr>
          <w:lang w:val="pl-PL"/>
        </w:rPr>
        <w:t>W krótkim horyzoncie czasowym nie proponuje się rozszerzenia zakresu odpowiedzialności w jednostce koordynującej o opiekę diabetologiczną</w:t>
      </w:r>
      <w:r w:rsidR="009968B1">
        <w:rPr>
          <w:lang w:val="pl-PL"/>
        </w:rPr>
        <w:t xml:space="preserve"> i </w:t>
      </w:r>
      <w:r>
        <w:rPr>
          <w:lang w:val="pl-PL"/>
        </w:rPr>
        <w:t>kardiologiczną</w:t>
      </w:r>
      <w:r w:rsidR="009968B1">
        <w:rPr>
          <w:lang w:val="pl-PL"/>
        </w:rPr>
        <w:t xml:space="preserve"> </w:t>
      </w:r>
      <w:r>
        <w:rPr>
          <w:lang w:val="pl-PL"/>
        </w:rPr>
        <w:t xml:space="preserve">oraz innych specjalistów. Powyższe powinno zostać zaplanowane w dłuższym horyzoncie czasowym jako </w:t>
      </w:r>
      <w:r w:rsidR="000D2E46">
        <w:rPr>
          <w:lang w:val="pl-PL"/>
        </w:rPr>
        <w:t xml:space="preserve">kolejny etap wdrożenia </w:t>
      </w:r>
      <w:r>
        <w:rPr>
          <w:lang w:val="pl-PL"/>
        </w:rPr>
        <w:t>docelow</w:t>
      </w:r>
      <w:r w:rsidR="000D2E46">
        <w:rPr>
          <w:lang w:val="pl-PL"/>
        </w:rPr>
        <w:t xml:space="preserve">ego </w:t>
      </w:r>
      <w:r>
        <w:rPr>
          <w:lang w:val="pl-PL"/>
        </w:rPr>
        <w:t>model</w:t>
      </w:r>
      <w:r w:rsidR="000D2E46">
        <w:rPr>
          <w:lang w:val="pl-PL"/>
        </w:rPr>
        <w:t xml:space="preserve">u opieki nad pacjentem w zaawansowanym stadium </w:t>
      </w:r>
      <w:proofErr w:type="spellStart"/>
      <w:r w:rsidR="000D2E46">
        <w:rPr>
          <w:lang w:val="pl-PL"/>
        </w:rPr>
        <w:t>PChN</w:t>
      </w:r>
      <w:proofErr w:type="spellEnd"/>
      <w:r w:rsidR="000D2E46">
        <w:rPr>
          <w:lang w:val="pl-PL"/>
        </w:rPr>
        <w:t xml:space="preserve"> przed dializą.</w:t>
      </w:r>
    </w:p>
    <w:p w14:paraId="5487FDA5" w14:textId="77777777" w:rsidR="00E452F8" w:rsidRPr="00BE067D" w:rsidRDefault="00C07E12" w:rsidP="000D2E46">
      <w:pPr>
        <w:pStyle w:val="EYHeading3"/>
        <w:rPr>
          <w:lang w:val="pl-PL"/>
        </w:rPr>
      </w:pPr>
      <w:bookmarkStart w:id="125" w:name="_Toc486537940"/>
      <w:r w:rsidRPr="00BE067D">
        <w:rPr>
          <w:lang w:val="pl-PL"/>
        </w:rPr>
        <w:t xml:space="preserve">Definicja i monitorowanie </w:t>
      </w:r>
      <w:r w:rsidR="00E452F8" w:rsidRPr="00BE067D">
        <w:rPr>
          <w:lang w:val="pl-PL"/>
        </w:rPr>
        <w:t xml:space="preserve">wyników leczenia – </w:t>
      </w:r>
      <w:proofErr w:type="spellStart"/>
      <w:r w:rsidR="00E452F8" w:rsidRPr="00BE067D">
        <w:rPr>
          <w:lang w:val="pl-PL"/>
        </w:rPr>
        <w:t>KPI</w:t>
      </w:r>
      <w:r w:rsidR="00EA04D9" w:rsidRPr="00BE067D">
        <w:rPr>
          <w:lang w:val="pl-PL"/>
        </w:rPr>
        <w:t>s</w:t>
      </w:r>
      <w:proofErr w:type="spellEnd"/>
      <w:r w:rsidR="00E452F8" w:rsidRPr="00BE067D">
        <w:rPr>
          <w:lang w:val="pl-PL"/>
        </w:rPr>
        <w:t xml:space="preserve"> jednostki koordynującej</w:t>
      </w:r>
      <w:bookmarkEnd w:id="125"/>
    </w:p>
    <w:p w14:paraId="001A8913" w14:textId="77777777" w:rsidR="00E452F8" w:rsidRDefault="006215CB" w:rsidP="00E452F8">
      <w:pPr>
        <w:rPr>
          <w:lang w:val="pl-PL"/>
        </w:rPr>
      </w:pPr>
      <w:r>
        <w:rPr>
          <w:lang w:val="pl-PL"/>
        </w:rPr>
        <w:t>Istotnym aspektem p</w:t>
      </w:r>
      <w:r w:rsidR="00E452F8">
        <w:rPr>
          <w:lang w:val="pl-PL"/>
        </w:rPr>
        <w:t xml:space="preserve">roponowanego rozwiązania jest </w:t>
      </w:r>
      <w:r>
        <w:rPr>
          <w:lang w:val="pl-PL"/>
        </w:rPr>
        <w:t>wprowadzenie</w:t>
      </w:r>
      <w:r w:rsidR="00E452F8">
        <w:rPr>
          <w:lang w:val="pl-PL"/>
        </w:rPr>
        <w:t xml:space="preserve"> kontroli jakości leczenia</w:t>
      </w:r>
      <w:r w:rsidR="00B94B2D">
        <w:rPr>
          <w:lang w:val="pl-PL"/>
        </w:rPr>
        <w:t xml:space="preserve">. </w:t>
      </w:r>
      <w:r w:rsidR="00E452F8">
        <w:rPr>
          <w:lang w:val="pl-PL"/>
        </w:rPr>
        <w:t xml:space="preserve">Istnieje szereg wskaźników, które mogłyby zostać zaimplementowane w celu mierzenia </w:t>
      </w:r>
      <w:r w:rsidR="00B979E4">
        <w:rPr>
          <w:lang w:val="pl-PL"/>
        </w:rPr>
        <w:t>efektywności oraz jakości pracy jednostek koordynujących. Proponuje się wykorzystanie następujących wskaźników:</w:t>
      </w:r>
    </w:p>
    <w:p w14:paraId="1509411F" w14:textId="77777777" w:rsidR="006215CB" w:rsidRDefault="00A303B5" w:rsidP="004E62AC">
      <w:pPr>
        <w:pStyle w:val="EYBulletedList1"/>
        <w:numPr>
          <w:ilvl w:val="0"/>
          <w:numId w:val="0"/>
        </w:numPr>
        <w:ind w:left="288" w:hanging="288"/>
        <w:jc w:val="both"/>
        <w:rPr>
          <w:rFonts w:eastAsia="Calibri"/>
          <w:lang w:val="pl-PL"/>
        </w:rPr>
      </w:pPr>
      <w:r w:rsidRPr="004E62AC">
        <w:rPr>
          <w:rFonts w:eastAsia="Calibri"/>
          <w:sz w:val="22"/>
          <w:lang w:val="pl-PL"/>
        </w:rPr>
        <w:t>Dla populacji pacjentów dializowanych:</w:t>
      </w:r>
    </w:p>
    <w:p w14:paraId="1F1403FA" w14:textId="77777777" w:rsidR="00A856E7" w:rsidRPr="00060165" w:rsidRDefault="006215CB" w:rsidP="00F84B72">
      <w:pPr>
        <w:pStyle w:val="EYBulletedList1"/>
        <w:numPr>
          <w:ilvl w:val="0"/>
          <w:numId w:val="11"/>
        </w:numPr>
        <w:jc w:val="both"/>
        <w:rPr>
          <w:rFonts w:eastAsia="Calibri"/>
          <w:szCs w:val="22"/>
          <w:lang w:val="pl-PL"/>
        </w:rPr>
      </w:pPr>
      <w:r w:rsidRPr="004E62AC">
        <w:rPr>
          <w:rFonts w:eastAsia="Calibri"/>
          <w:sz w:val="22"/>
          <w:szCs w:val="22"/>
          <w:lang w:val="pl-PL"/>
        </w:rPr>
        <w:t xml:space="preserve">W </w:t>
      </w:r>
      <w:r w:rsidR="00A856E7" w:rsidRPr="004E62AC">
        <w:rPr>
          <w:rFonts w:eastAsia="Calibri"/>
          <w:sz w:val="22"/>
          <w:szCs w:val="22"/>
          <w:lang w:val="pl-PL"/>
        </w:rPr>
        <w:t>obszarze wyników leczenia</w:t>
      </w:r>
    </w:p>
    <w:p w14:paraId="2B8AEB0A" w14:textId="1FEC0D84" w:rsidR="003D20E7" w:rsidRDefault="003D20E7" w:rsidP="00835025">
      <w:pPr>
        <w:pStyle w:val="EYBulletedList1"/>
        <w:numPr>
          <w:ilvl w:val="1"/>
          <w:numId w:val="11"/>
        </w:numPr>
        <w:jc w:val="both"/>
        <w:rPr>
          <w:rFonts w:eastAsia="Calibri"/>
          <w:sz w:val="22"/>
          <w:lang w:val="pl-PL"/>
        </w:rPr>
      </w:pPr>
      <w:r w:rsidRPr="00783261">
        <w:rPr>
          <w:rFonts w:eastAsia="Calibri"/>
          <w:sz w:val="22"/>
          <w:lang w:val="pl-PL"/>
        </w:rPr>
        <w:t>liczba hospitalizacji/pacjenta/rok (liczba przyjęć w roku)</w:t>
      </w:r>
    </w:p>
    <w:p w14:paraId="0B67B4E1" w14:textId="5591CA3A" w:rsidR="003D20E7" w:rsidRDefault="003D20E7" w:rsidP="00835025">
      <w:pPr>
        <w:pStyle w:val="EYBulletedList1"/>
        <w:numPr>
          <w:ilvl w:val="1"/>
          <w:numId w:val="11"/>
        </w:numPr>
        <w:jc w:val="both"/>
        <w:rPr>
          <w:rFonts w:eastAsia="Calibri"/>
          <w:sz w:val="22"/>
          <w:lang w:val="pl-PL"/>
        </w:rPr>
      </w:pPr>
      <w:r w:rsidRPr="00783261">
        <w:rPr>
          <w:rFonts w:eastAsia="Calibri"/>
          <w:sz w:val="22"/>
          <w:lang w:val="pl-PL"/>
        </w:rPr>
        <w:t>długość hospitalizacji/pacjenta/rok (liczba dni w roku)</w:t>
      </w:r>
    </w:p>
    <w:p w14:paraId="398B31FF" w14:textId="77777777" w:rsidR="00783261" w:rsidRPr="00783261" w:rsidRDefault="00783261" w:rsidP="00835025">
      <w:pPr>
        <w:pStyle w:val="EYBulletedList1"/>
        <w:numPr>
          <w:ilvl w:val="1"/>
          <w:numId w:val="11"/>
        </w:numPr>
        <w:jc w:val="both"/>
        <w:rPr>
          <w:rFonts w:eastAsia="Calibri"/>
          <w:sz w:val="22"/>
          <w:lang w:val="pl-PL"/>
        </w:rPr>
      </w:pPr>
      <w:r w:rsidRPr="00783261">
        <w:rPr>
          <w:rFonts w:eastAsia="Calibri"/>
          <w:sz w:val="22"/>
          <w:lang w:val="pl-PL"/>
        </w:rPr>
        <w:t>liczba hospitalizacji/pacjenta/rok (liczba przyjęć w roku) z powodu powikłań dostępów</w:t>
      </w:r>
    </w:p>
    <w:p w14:paraId="2C09D742" w14:textId="77777777" w:rsidR="00783261" w:rsidRPr="00783261" w:rsidRDefault="00783261" w:rsidP="00835025">
      <w:pPr>
        <w:pStyle w:val="EYBulletedList1"/>
        <w:numPr>
          <w:ilvl w:val="1"/>
          <w:numId w:val="11"/>
        </w:numPr>
        <w:jc w:val="both"/>
        <w:rPr>
          <w:rFonts w:eastAsia="Calibri"/>
          <w:sz w:val="22"/>
          <w:lang w:val="pl-PL"/>
        </w:rPr>
      </w:pPr>
      <w:r w:rsidRPr="00783261">
        <w:rPr>
          <w:rFonts w:eastAsia="Calibri"/>
          <w:sz w:val="22"/>
          <w:lang w:val="pl-PL"/>
        </w:rPr>
        <w:t>długość hospitalizacji/pacjenta/rok (liczba dni w roku) z powodu powikłań dostępów</w:t>
      </w:r>
    </w:p>
    <w:p w14:paraId="41A84299" w14:textId="77777777" w:rsidR="003B1337" w:rsidRPr="003B1337" w:rsidRDefault="003B1337" w:rsidP="003B1337">
      <w:pPr>
        <w:pStyle w:val="EYBulletedList1"/>
        <w:numPr>
          <w:ilvl w:val="1"/>
          <w:numId w:val="11"/>
        </w:numPr>
        <w:jc w:val="both"/>
        <w:rPr>
          <w:rFonts w:eastAsia="Calibri"/>
          <w:sz w:val="22"/>
          <w:lang w:val="pl-PL"/>
        </w:rPr>
      </w:pPr>
      <w:r w:rsidRPr="003B1337">
        <w:rPr>
          <w:rFonts w:eastAsia="Calibri"/>
          <w:sz w:val="22"/>
          <w:lang w:val="pl-PL"/>
        </w:rPr>
        <w:t>liczba chorych, którzy zakończyli dializoterapię – liczba chorych, którzy zakończyli dializoterapię w danym ośrodku z przyczyn innych, niż przeszczep, powrót czynności nerek lub przeniesienie do innego ośrodka (z podaniem nazwy ośrodka)</w:t>
      </w:r>
    </w:p>
    <w:p w14:paraId="5C59CDB7" w14:textId="77777777" w:rsidR="00A856E7" w:rsidRPr="003B37A9" w:rsidRDefault="00A856E7" w:rsidP="00F84B72">
      <w:pPr>
        <w:pStyle w:val="EYBulletedList1"/>
        <w:numPr>
          <w:ilvl w:val="1"/>
          <w:numId w:val="11"/>
        </w:numPr>
        <w:jc w:val="both"/>
        <w:rPr>
          <w:rFonts w:eastAsia="Calibri"/>
          <w:lang w:val="pl-PL"/>
        </w:rPr>
      </w:pPr>
      <w:r w:rsidRPr="003660F8">
        <w:rPr>
          <w:rFonts w:eastAsia="Calibri"/>
          <w:sz w:val="22"/>
          <w:lang w:val="pl-PL"/>
        </w:rPr>
        <w:t>skorygowana śmiertelność</w:t>
      </w:r>
      <w:r>
        <w:rPr>
          <w:rFonts w:eastAsia="Calibri"/>
          <w:sz w:val="22"/>
          <w:lang w:val="pl-PL"/>
        </w:rPr>
        <w:t xml:space="preserve"> - </w:t>
      </w:r>
      <w:r w:rsidRPr="00CF137A">
        <w:rPr>
          <w:rFonts w:eastAsia="Calibri"/>
          <w:sz w:val="22"/>
          <w:lang w:val="pl-PL"/>
        </w:rPr>
        <w:t>śmiertelność względem czasu dializoterapii liczona według algorytmu: liczba zgonów w miesiącu podzielona przez średnią z liczby chorych dializowanych na początku i na końcu miesiąca, wyrażona w procentach, u chorych dializowanych przynajmniej 3 miesiące</w:t>
      </w:r>
    </w:p>
    <w:p w14:paraId="7C35BF51" w14:textId="0797FC3A" w:rsidR="00A856E7" w:rsidRPr="001E35A3" w:rsidRDefault="00A856E7" w:rsidP="00F84B72">
      <w:pPr>
        <w:pStyle w:val="EYBulletedList1"/>
        <w:numPr>
          <w:ilvl w:val="1"/>
          <w:numId w:val="11"/>
        </w:numPr>
        <w:jc w:val="both"/>
        <w:rPr>
          <w:rFonts w:eastAsia="Calibri"/>
          <w:lang w:val="pl-PL"/>
        </w:rPr>
      </w:pPr>
      <w:r w:rsidRPr="003660F8">
        <w:rPr>
          <w:rFonts w:eastAsia="Calibri"/>
          <w:sz w:val="22"/>
          <w:lang w:val="pl-PL"/>
        </w:rPr>
        <w:t>jakość życia pacjentów dializowanych uwarunkowana stanem zdrowia</w:t>
      </w:r>
      <w:r>
        <w:rPr>
          <w:rFonts w:eastAsia="Calibri"/>
          <w:sz w:val="22"/>
          <w:lang w:val="pl-PL"/>
        </w:rPr>
        <w:t xml:space="preserve"> – samoocena pacjenta dotycząca</w:t>
      </w:r>
      <w:r w:rsidRPr="00F41F3B">
        <w:rPr>
          <w:rFonts w:eastAsia="Calibri"/>
          <w:sz w:val="22"/>
          <w:lang w:val="pl-PL"/>
        </w:rPr>
        <w:t xml:space="preserve"> wpływu choroby i stosowanego leczenia na jego funkcjonowanie w zakresie fizycznym, psychicznym i społecznym</w:t>
      </w:r>
      <w:r>
        <w:rPr>
          <w:rFonts w:eastAsia="Calibri"/>
          <w:sz w:val="22"/>
          <w:lang w:val="pl-PL"/>
        </w:rPr>
        <w:t xml:space="preserve"> </w:t>
      </w:r>
      <w:r w:rsidRPr="00017A60">
        <w:rPr>
          <w:rFonts w:eastAsia="Calibri"/>
          <w:sz w:val="22"/>
          <w:lang w:val="pl-PL"/>
        </w:rPr>
        <w:t xml:space="preserve">za </w:t>
      </w:r>
      <w:r>
        <w:rPr>
          <w:rFonts w:eastAsia="Calibri"/>
          <w:sz w:val="22"/>
          <w:lang w:val="pl-PL"/>
        </w:rPr>
        <w:t>pomocą</w:t>
      </w:r>
      <w:r w:rsidR="00C27745">
        <w:rPr>
          <w:rFonts w:eastAsia="Calibri"/>
          <w:sz w:val="22"/>
          <w:lang w:val="pl-PL"/>
        </w:rPr>
        <w:t xml:space="preserve"> ujednoliconego kwestionariusza takiego jak np.</w:t>
      </w:r>
      <w:r>
        <w:rPr>
          <w:rFonts w:eastAsia="Calibri"/>
          <w:sz w:val="22"/>
          <w:lang w:val="pl-PL"/>
        </w:rPr>
        <w:t xml:space="preserve"> </w:t>
      </w:r>
      <w:proofErr w:type="spellStart"/>
      <w:r w:rsidRPr="00B8329A">
        <w:rPr>
          <w:rFonts w:eastAsia="Calibri"/>
          <w:sz w:val="22"/>
          <w:lang w:val="pl-PL"/>
        </w:rPr>
        <w:t>Kidney</w:t>
      </w:r>
      <w:proofErr w:type="spellEnd"/>
      <w:r w:rsidRPr="00B8329A">
        <w:rPr>
          <w:rFonts w:eastAsia="Calibri"/>
          <w:sz w:val="22"/>
          <w:lang w:val="pl-PL"/>
        </w:rPr>
        <w:t xml:space="preserve"> </w:t>
      </w:r>
      <w:proofErr w:type="spellStart"/>
      <w:r w:rsidRPr="00B8329A">
        <w:rPr>
          <w:rFonts w:eastAsia="Calibri"/>
          <w:sz w:val="22"/>
          <w:lang w:val="pl-PL"/>
        </w:rPr>
        <w:t>Disease</w:t>
      </w:r>
      <w:proofErr w:type="spellEnd"/>
      <w:r w:rsidRPr="00B8329A">
        <w:rPr>
          <w:rFonts w:eastAsia="Calibri"/>
          <w:sz w:val="22"/>
          <w:lang w:val="pl-PL"/>
        </w:rPr>
        <w:t xml:space="preserve"> and </w:t>
      </w:r>
      <w:proofErr w:type="spellStart"/>
      <w:r w:rsidRPr="00B8329A">
        <w:rPr>
          <w:rFonts w:eastAsia="Calibri"/>
          <w:sz w:val="22"/>
          <w:lang w:val="pl-PL"/>
        </w:rPr>
        <w:t>Quality</w:t>
      </w:r>
      <w:proofErr w:type="spellEnd"/>
      <w:r w:rsidRPr="00B8329A">
        <w:rPr>
          <w:rFonts w:eastAsia="Calibri"/>
          <w:sz w:val="22"/>
          <w:lang w:val="pl-PL"/>
        </w:rPr>
        <w:t xml:space="preserve"> of Life™ </w:t>
      </w:r>
      <w:proofErr w:type="spellStart"/>
      <w:r w:rsidRPr="00B8329A">
        <w:rPr>
          <w:rFonts w:eastAsia="Calibri"/>
          <w:sz w:val="22"/>
          <w:lang w:val="pl-PL"/>
        </w:rPr>
        <w:t>Short</w:t>
      </w:r>
      <w:proofErr w:type="spellEnd"/>
      <w:r w:rsidRPr="00B8329A">
        <w:rPr>
          <w:rFonts w:eastAsia="Calibri"/>
          <w:sz w:val="22"/>
          <w:lang w:val="pl-PL"/>
        </w:rPr>
        <w:t xml:space="preserve"> Form (KDQOL-SF</w:t>
      </w:r>
      <w:r w:rsidRPr="001E35A3">
        <w:rPr>
          <w:rFonts w:eastAsia="Calibri"/>
          <w:sz w:val="22"/>
          <w:lang w:val="pl-PL"/>
        </w:rPr>
        <w:t xml:space="preserve">™) </w:t>
      </w:r>
      <w:r w:rsidR="00C27745" w:rsidRPr="00060165">
        <w:rPr>
          <w:rFonts w:eastAsia="Calibri"/>
          <w:sz w:val="22"/>
          <w:lang w:val="pl-PL"/>
        </w:rPr>
        <w:t>lub innego formularza wypracowanego w trakcie pilotażu</w:t>
      </w:r>
    </w:p>
    <w:p w14:paraId="34F97E76" w14:textId="77777777" w:rsidR="006215CB" w:rsidRPr="001E35A3" w:rsidRDefault="00A856E7" w:rsidP="00F84B72">
      <w:pPr>
        <w:pStyle w:val="EYBulletedList1"/>
        <w:numPr>
          <w:ilvl w:val="0"/>
          <w:numId w:val="11"/>
        </w:numPr>
        <w:jc w:val="both"/>
        <w:rPr>
          <w:rFonts w:eastAsia="Calibri"/>
          <w:szCs w:val="22"/>
          <w:lang w:val="pl-PL"/>
        </w:rPr>
      </w:pPr>
      <w:r w:rsidRPr="001E35A3">
        <w:rPr>
          <w:rFonts w:eastAsia="Calibri"/>
          <w:sz w:val="22"/>
          <w:szCs w:val="22"/>
          <w:lang w:val="pl-PL"/>
        </w:rPr>
        <w:t xml:space="preserve">W </w:t>
      </w:r>
      <w:r w:rsidR="006215CB" w:rsidRPr="001E35A3">
        <w:rPr>
          <w:rFonts w:eastAsia="Calibri"/>
          <w:sz w:val="22"/>
          <w:szCs w:val="22"/>
          <w:lang w:val="pl-PL"/>
        </w:rPr>
        <w:t xml:space="preserve">obszarze </w:t>
      </w:r>
      <w:r w:rsidRPr="001E35A3">
        <w:rPr>
          <w:rFonts w:eastAsia="Calibri"/>
          <w:sz w:val="22"/>
          <w:szCs w:val="22"/>
          <w:lang w:val="pl-PL"/>
        </w:rPr>
        <w:t>parametrów</w:t>
      </w:r>
      <w:r w:rsidR="006215CB" w:rsidRPr="001E35A3">
        <w:rPr>
          <w:rFonts w:eastAsia="Calibri"/>
          <w:sz w:val="22"/>
          <w:szCs w:val="22"/>
          <w:lang w:val="pl-PL"/>
        </w:rPr>
        <w:t xml:space="preserve"> leczenia</w:t>
      </w:r>
    </w:p>
    <w:p w14:paraId="4C17B3F0" w14:textId="4518907D" w:rsidR="00C27745" w:rsidRPr="00452B87" w:rsidRDefault="00C27745" w:rsidP="00C27745">
      <w:pPr>
        <w:pStyle w:val="EYBulletedList1"/>
        <w:numPr>
          <w:ilvl w:val="1"/>
          <w:numId w:val="11"/>
        </w:numPr>
        <w:jc w:val="both"/>
        <w:rPr>
          <w:rFonts w:eastAsia="Calibri"/>
          <w:sz w:val="22"/>
          <w:lang w:val="pl-PL"/>
        </w:rPr>
      </w:pPr>
      <w:r w:rsidRPr="00060165">
        <w:rPr>
          <w:rFonts w:eastAsia="Calibri"/>
          <w:sz w:val="22"/>
          <w:lang w:val="pl-PL"/>
        </w:rPr>
        <w:t xml:space="preserve">HD i DO: wskaźnik </w:t>
      </w:r>
      <w:proofErr w:type="spellStart"/>
      <w:r w:rsidRPr="00060165">
        <w:rPr>
          <w:rFonts w:eastAsia="Calibri"/>
          <w:sz w:val="22"/>
          <w:lang w:val="pl-PL"/>
        </w:rPr>
        <w:t>współchorobowości</w:t>
      </w:r>
      <w:proofErr w:type="spellEnd"/>
      <w:r w:rsidRPr="00060165">
        <w:rPr>
          <w:rFonts w:eastAsia="Calibri"/>
          <w:sz w:val="22"/>
          <w:lang w:val="pl-PL"/>
        </w:rPr>
        <w:t xml:space="preserve"> </w:t>
      </w:r>
      <w:proofErr w:type="spellStart"/>
      <w:r w:rsidRPr="00060165">
        <w:rPr>
          <w:rFonts w:eastAsia="Calibri"/>
          <w:sz w:val="22"/>
          <w:lang w:val="pl-PL"/>
        </w:rPr>
        <w:t>Charlson</w:t>
      </w:r>
      <w:proofErr w:type="spellEnd"/>
      <w:r w:rsidRPr="00060165">
        <w:rPr>
          <w:rFonts w:eastAsia="Calibri"/>
          <w:sz w:val="22"/>
          <w:lang w:val="pl-PL"/>
        </w:rPr>
        <w:t xml:space="preserve"> z uwzględnieniem wieku (</w:t>
      </w:r>
      <w:proofErr w:type="spellStart"/>
      <w:r w:rsidRPr="00060165">
        <w:rPr>
          <w:rFonts w:eastAsia="Calibri"/>
          <w:sz w:val="22"/>
          <w:lang w:val="pl-PL"/>
        </w:rPr>
        <w:t>AaCCIs</w:t>
      </w:r>
      <w:proofErr w:type="spellEnd"/>
      <w:r w:rsidRPr="00060165">
        <w:rPr>
          <w:rFonts w:eastAsia="Calibri"/>
          <w:sz w:val="22"/>
          <w:lang w:val="pl-PL"/>
        </w:rPr>
        <w:t>)</w:t>
      </w:r>
    </w:p>
    <w:p w14:paraId="78ADFAFD" w14:textId="29B2E80C" w:rsidR="00C27745" w:rsidRPr="00835025" w:rsidRDefault="00C27745" w:rsidP="00F84B72">
      <w:pPr>
        <w:pStyle w:val="EYBulletedList1"/>
        <w:numPr>
          <w:ilvl w:val="1"/>
          <w:numId w:val="11"/>
        </w:numPr>
        <w:jc w:val="both"/>
        <w:rPr>
          <w:rFonts w:eastAsia="Calibri"/>
          <w:lang w:val="pl-PL"/>
        </w:rPr>
      </w:pPr>
      <w:r w:rsidRPr="00C27745">
        <w:rPr>
          <w:rFonts w:eastAsia="Calibri"/>
          <w:sz w:val="22"/>
          <w:lang w:val="pl-PL"/>
        </w:rPr>
        <w:t xml:space="preserve">HD: Dostęp naczyniowy – odsetek chorych z przetoką lub </w:t>
      </w:r>
      <w:proofErr w:type="spellStart"/>
      <w:r w:rsidRPr="00C27745">
        <w:rPr>
          <w:rFonts w:eastAsia="Calibri"/>
          <w:sz w:val="22"/>
          <w:lang w:val="pl-PL"/>
        </w:rPr>
        <w:t>graftem</w:t>
      </w:r>
      <w:proofErr w:type="spellEnd"/>
      <w:r w:rsidRPr="00C27745">
        <w:rPr>
          <w:rFonts w:eastAsia="Calibri"/>
          <w:sz w:val="22"/>
          <w:lang w:val="pl-PL"/>
        </w:rPr>
        <w:t xml:space="preserve"> </w:t>
      </w:r>
      <w:r w:rsidR="00645A46">
        <w:rPr>
          <w:rFonts w:eastAsia="Calibri"/>
          <w:sz w:val="22"/>
          <w:lang w:val="pl-PL"/>
        </w:rPr>
        <w:t xml:space="preserve">u chorych dializowanych przynamniej trzy miesiące </w:t>
      </w:r>
      <w:r w:rsidRPr="00C27745">
        <w:rPr>
          <w:rFonts w:eastAsia="Calibri"/>
          <w:sz w:val="22"/>
          <w:lang w:val="pl-PL"/>
        </w:rPr>
        <w:t>(parametr oceniany co miesiąc)</w:t>
      </w:r>
    </w:p>
    <w:p w14:paraId="303B43CA" w14:textId="47189EF7" w:rsidR="001A2ED7" w:rsidRPr="0065540F" w:rsidRDefault="001A2ED7" w:rsidP="0065540F">
      <w:pPr>
        <w:pStyle w:val="EYBulletedList1"/>
        <w:numPr>
          <w:ilvl w:val="1"/>
          <w:numId w:val="11"/>
        </w:numPr>
        <w:jc w:val="both"/>
        <w:rPr>
          <w:rFonts w:eastAsia="Calibri"/>
          <w:lang w:val="pl-PL"/>
        </w:rPr>
      </w:pPr>
      <w:r w:rsidRPr="00835025">
        <w:rPr>
          <w:rFonts w:eastAsia="Calibri"/>
          <w:sz w:val="22"/>
          <w:lang w:val="pl-PL"/>
        </w:rPr>
        <w:lastRenderedPageBreak/>
        <w:t xml:space="preserve">HD: Dostęp naczyniowy – odsetek chorych z cewnikiem </w:t>
      </w:r>
      <w:r w:rsidR="00645A46">
        <w:rPr>
          <w:rFonts w:eastAsia="Calibri"/>
          <w:sz w:val="22"/>
          <w:lang w:val="pl-PL"/>
        </w:rPr>
        <w:t>czasowym (ostrym)</w:t>
      </w:r>
      <w:r w:rsidR="007C01D1">
        <w:rPr>
          <w:rFonts w:eastAsia="Calibri"/>
          <w:sz w:val="22"/>
          <w:lang w:val="pl-PL"/>
        </w:rPr>
        <w:t xml:space="preserve"> u chorych dializowanych przynamniej trzy miesiące</w:t>
      </w:r>
    </w:p>
    <w:p w14:paraId="5D851250" w14:textId="3CA190E2" w:rsidR="00C27745" w:rsidRPr="00060165" w:rsidRDefault="00C27745" w:rsidP="00F84B72">
      <w:pPr>
        <w:pStyle w:val="EYBulletedList1"/>
        <w:numPr>
          <w:ilvl w:val="1"/>
          <w:numId w:val="11"/>
        </w:numPr>
        <w:jc w:val="both"/>
        <w:rPr>
          <w:rFonts w:eastAsia="Calibri"/>
          <w:lang w:val="pl-PL"/>
        </w:rPr>
      </w:pPr>
      <w:r w:rsidRPr="00C27745">
        <w:rPr>
          <w:rFonts w:eastAsia="Calibri"/>
          <w:sz w:val="22"/>
          <w:lang w:val="pl-PL"/>
        </w:rPr>
        <w:t xml:space="preserve">HD: dawka dializy </w:t>
      </w:r>
      <w:proofErr w:type="spellStart"/>
      <w:r w:rsidRPr="00C27745">
        <w:rPr>
          <w:rFonts w:eastAsia="Calibri"/>
          <w:sz w:val="22"/>
          <w:lang w:val="pl-PL"/>
        </w:rPr>
        <w:t>spkT</w:t>
      </w:r>
      <w:proofErr w:type="spellEnd"/>
      <w:r w:rsidRPr="00C27745">
        <w:rPr>
          <w:rFonts w:eastAsia="Calibri"/>
          <w:sz w:val="22"/>
          <w:lang w:val="pl-PL"/>
        </w:rPr>
        <w:t>/V (parametr określany co miesiąc)</w:t>
      </w:r>
    </w:p>
    <w:p w14:paraId="494DC7F1" w14:textId="67012006" w:rsidR="00A856E7" w:rsidRPr="004E62AC" w:rsidRDefault="00C27745" w:rsidP="00452B87">
      <w:pPr>
        <w:pStyle w:val="EYBulletedList1"/>
        <w:numPr>
          <w:ilvl w:val="1"/>
          <w:numId w:val="11"/>
        </w:numPr>
        <w:jc w:val="both"/>
        <w:rPr>
          <w:rFonts w:eastAsia="Calibri"/>
          <w:lang w:val="pl-PL"/>
        </w:rPr>
      </w:pPr>
      <w:r w:rsidRPr="00C27745">
        <w:rPr>
          <w:rFonts w:eastAsia="Calibri"/>
          <w:sz w:val="22"/>
          <w:lang w:val="pl-PL"/>
        </w:rPr>
        <w:t xml:space="preserve">DO: dawka dializy tygodniowy </w:t>
      </w:r>
      <w:proofErr w:type="spellStart"/>
      <w:r w:rsidRPr="00C27745">
        <w:rPr>
          <w:rFonts w:eastAsia="Calibri"/>
          <w:sz w:val="22"/>
          <w:lang w:val="pl-PL"/>
        </w:rPr>
        <w:t>kT</w:t>
      </w:r>
      <w:proofErr w:type="spellEnd"/>
      <w:r w:rsidRPr="00C27745">
        <w:rPr>
          <w:rFonts w:eastAsia="Calibri"/>
          <w:sz w:val="22"/>
          <w:lang w:val="pl-PL"/>
        </w:rPr>
        <w:t>/V (parametr określany co 6 tygodni)</w:t>
      </w:r>
      <w:r>
        <w:rPr>
          <w:rFonts w:eastAsia="Calibri"/>
          <w:sz w:val="22"/>
          <w:lang w:val="pl-PL"/>
        </w:rPr>
        <w:t xml:space="preserve"> </w:t>
      </w:r>
    </w:p>
    <w:p w14:paraId="2E66AE96" w14:textId="77777777" w:rsidR="00130AC9" w:rsidRPr="00835025" w:rsidRDefault="00130AC9" w:rsidP="00835025">
      <w:pPr>
        <w:pStyle w:val="EYBulletedList1"/>
        <w:numPr>
          <w:ilvl w:val="1"/>
          <w:numId w:val="11"/>
        </w:numPr>
        <w:jc w:val="both"/>
        <w:rPr>
          <w:rFonts w:eastAsia="Calibri"/>
          <w:sz w:val="22"/>
          <w:lang w:val="pl-PL"/>
        </w:rPr>
      </w:pPr>
      <w:r w:rsidRPr="00835025">
        <w:rPr>
          <w:rFonts w:eastAsia="Calibri"/>
          <w:sz w:val="22"/>
          <w:lang w:val="pl-PL"/>
        </w:rPr>
        <w:t>Stan nawodnienia oceniany co 3 miesiące jedną z metod wymienionych poniżej:</w:t>
      </w:r>
    </w:p>
    <w:p w14:paraId="34446A90" w14:textId="77777777" w:rsidR="00130AC9" w:rsidRPr="00835025" w:rsidRDefault="00130AC9" w:rsidP="00835025">
      <w:pPr>
        <w:pStyle w:val="EYBulletedList1"/>
        <w:numPr>
          <w:ilvl w:val="2"/>
          <w:numId w:val="11"/>
        </w:numPr>
        <w:jc w:val="both"/>
        <w:rPr>
          <w:rFonts w:eastAsia="Calibri"/>
          <w:sz w:val="22"/>
          <w:lang w:val="pl-PL"/>
        </w:rPr>
      </w:pPr>
      <w:r w:rsidRPr="00835025">
        <w:rPr>
          <w:rFonts w:eastAsia="Calibri"/>
          <w:sz w:val="22"/>
          <w:lang w:val="pl-PL"/>
        </w:rPr>
        <w:t xml:space="preserve">metodą </w:t>
      </w:r>
      <w:proofErr w:type="spellStart"/>
      <w:r w:rsidRPr="00835025">
        <w:rPr>
          <w:rFonts w:eastAsia="Calibri"/>
          <w:sz w:val="22"/>
          <w:lang w:val="pl-PL"/>
        </w:rPr>
        <w:t>bioimpedancji</w:t>
      </w:r>
      <w:proofErr w:type="spellEnd"/>
      <w:r w:rsidRPr="00835025">
        <w:rPr>
          <w:rFonts w:eastAsia="Calibri"/>
          <w:sz w:val="22"/>
          <w:lang w:val="pl-PL"/>
        </w:rPr>
        <w:t xml:space="preserve"> (parametr określany co 3 miesiące)</w:t>
      </w:r>
    </w:p>
    <w:p w14:paraId="3FB8E763" w14:textId="77777777" w:rsidR="00130AC9" w:rsidRPr="00835025" w:rsidRDefault="00130AC9" w:rsidP="00835025">
      <w:pPr>
        <w:pStyle w:val="EYBulletedList1"/>
        <w:numPr>
          <w:ilvl w:val="2"/>
          <w:numId w:val="11"/>
        </w:numPr>
        <w:jc w:val="both"/>
        <w:rPr>
          <w:rFonts w:eastAsia="Calibri"/>
          <w:sz w:val="22"/>
          <w:lang w:val="pl-PL"/>
        </w:rPr>
      </w:pPr>
      <w:proofErr w:type="spellStart"/>
      <w:r w:rsidRPr="00835025">
        <w:rPr>
          <w:rFonts w:eastAsia="Calibri"/>
          <w:sz w:val="22"/>
          <w:lang w:val="pl-PL"/>
        </w:rPr>
        <w:t>wspólczynnik</w:t>
      </w:r>
      <w:proofErr w:type="spellEnd"/>
      <w:r w:rsidRPr="00835025">
        <w:rPr>
          <w:rFonts w:eastAsia="Calibri"/>
          <w:sz w:val="22"/>
          <w:lang w:val="pl-PL"/>
        </w:rPr>
        <w:t xml:space="preserve"> </w:t>
      </w:r>
      <w:proofErr w:type="spellStart"/>
      <w:r w:rsidRPr="00835025">
        <w:rPr>
          <w:rFonts w:eastAsia="Calibri"/>
          <w:sz w:val="22"/>
          <w:lang w:val="pl-PL"/>
        </w:rPr>
        <w:t>ultrafitracji</w:t>
      </w:r>
      <w:proofErr w:type="spellEnd"/>
      <w:r w:rsidRPr="00835025">
        <w:rPr>
          <w:rFonts w:eastAsia="Calibri"/>
          <w:sz w:val="22"/>
          <w:lang w:val="pl-PL"/>
        </w:rPr>
        <w:t xml:space="preserve"> na godzinę HD na kg suchej masy ciała</w:t>
      </w:r>
    </w:p>
    <w:p w14:paraId="339188F9" w14:textId="77777777" w:rsidR="00130AC9" w:rsidRPr="00835025" w:rsidRDefault="00130AC9" w:rsidP="00835025">
      <w:pPr>
        <w:pStyle w:val="EYBulletedList1"/>
        <w:numPr>
          <w:ilvl w:val="2"/>
          <w:numId w:val="11"/>
        </w:numPr>
        <w:jc w:val="both"/>
        <w:rPr>
          <w:rFonts w:eastAsia="Calibri"/>
          <w:sz w:val="22"/>
          <w:lang w:val="pl-PL"/>
        </w:rPr>
      </w:pPr>
      <w:proofErr w:type="spellStart"/>
      <w:r w:rsidRPr="00835025">
        <w:rPr>
          <w:rFonts w:eastAsia="Calibri"/>
          <w:sz w:val="22"/>
          <w:lang w:val="pl-PL"/>
        </w:rPr>
        <w:t>międdzydializacyjny</w:t>
      </w:r>
      <w:proofErr w:type="spellEnd"/>
      <w:r w:rsidRPr="00835025">
        <w:rPr>
          <w:rFonts w:eastAsia="Calibri"/>
          <w:sz w:val="22"/>
          <w:lang w:val="pl-PL"/>
        </w:rPr>
        <w:t xml:space="preserve"> przybór masy ciała (masa przed HD – masa po poprzedniej HD)/sucha masa ciała) </w:t>
      </w:r>
    </w:p>
    <w:p w14:paraId="35E507BD" w14:textId="5F03EDF0" w:rsidR="00130AC9" w:rsidRPr="0065540F" w:rsidRDefault="00130AC9" w:rsidP="00835025">
      <w:pPr>
        <w:pStyle w:val="EYBulletedList1"/>
        <w:numPr>
          <w:ilvl w:val="2"/>
          <w:numId w:val="11"/>
        </w:numPr>
        <w:jc w:val="both"/>
        <w:rPr>
          <w:rFonts w:eastAsia="Calibri"/>
          <w:sz w:val="22"/>
          <w:lang w:val="pl-PL"/>
        </w:rPr>
      </w:pPr>
      <w:r w:rsidRPr="00835025">
        <w:rPr>
          <w:rFonts w:eastAsia="Calibri"/>
          <w:sz w:val="22"/>
          <w:lang w:val="pl-PL"/>
        </w:rPr>
        <w:t>na podstawie parametrów ultrafiltracji i ciśnienia tętniczego krwi</w:t>
      </w:r>
    </w:p>
    <w:p w14:paraId="05FEE37D" w14:textId="5BC90B96" w:rsidR="00C27745" w:rsidRDefault="00C27745" w:rsidP="00130AC9">
      <w:pPr>
        <w:pStyle w:val="EYBulletedList1"/>
        <w:numPr>
          <w:ilvl w:val="1"/>
          <w:numId w:val="11"/>
        </w:numPr>
        <w:jc w:val="both"/>
        <w:rPr>
          <w:rFonts w:eastAsia="Calibri"/>
          <w:sz w:val="22"/>
          <w:lang w:val="pl-PL"/>
        </w:rPr>
      </w:pPr>
      <w:r w:rsidRPr="00C27745">
        <w:rPr>
          <w:rFonts w:eastAsia="Calibri"/>
          <w:sz w:val="22"/>
          <w:lang w:val="pl-PL"/>
        </w:rPr>
        <w:t xml:space="preserve">HD i DO: stan odżywienia pacjentów mierzony metodą </w:t>
      </w:r>
      <w:proofErr w:type="spellStart"/>
      <w:r w:rsidRPr="00C27745">
        <w:rPr>
          <w:rFonts w:eastAsia="Calibri"/>
          <w:sz w:val="22"/>
          <w:lang w:val="pl-PL"/>
        </w:rPr>
        <w:t>bioimpedancji</w:t>
      </w:r>
      <w:proofErr w:type="spellEnd"/>
      <w:r w:rsidRPr="00C27745">
        <w:rPr>
          <w:rFonts w:eastAsia="Calibri"/>
          <w:sz w:val="22"/>
          <w:lang w:val="pl-PL"/>
        </w:rPr>
        <w:t xml:space="preserve"> lub na podstawie stężenia albumin i kreatyniny </w:t>
      </w:r>
      <w:r w:rsidR="00130AC9" w:rsidRPr="00130AC9">
        <w:rPr>
          <w:rFonts w:eastAsia="Calibri"/>
          <w:sz w:val="22"/>
          <w:lang w:val="pl-PL"/>
        </w:rPr>
        <w:t xml:space="preserve">albo </w:t>
      </w:r>
      <w:r w:rsidR="003F23F8">
        <w:rPr>
          <w:rFonts w:eastAsia="Calibri"/>
          <w:sz w:val="22"/>
          <w:lang w:val="pl-PL"/>
        </w:rPr>
        <w:t xml:space="preserve">w </w:t>
      </w:r>
      <w:r w:rsidR="00130AC9" w:rsidRPr="00130AC9">
        <w:rPr>
          <w:rFonts w:eastAsia="Calibri"/>
          <w:sz w:val="22"/>
          <w:lang w:val="pl-PL"/>
        </w:rPr>
        <w:t xml:space="preserve">skali SGA </w:t>
      </w:r>
      <w:r w:rsidRPr="00C27745">
        <w:rPr>
          <w:rFonts w:eastAsia="Calibri"/>
          <w:sz w:val="22"/>
          <w:lang w:val="pl-PL"/>
        </w:rPr>
        <w:t>(parametr określany co 3 miesiące)</w:t>
      </w:r>
    </w:p>
    <w:p w14:paraId="5E75C4A9" w14:textId="7B262875" w:rsidR="00C27745" w:rsidRPr="00060165" w:rsidRDefault="00C27745" w:rsidP="00F84B72">
      <w:pPr>
        <w:pStyle w:val="EYBulletedList1"/>
        <w:numPr>
          <w:ilvl w:val="1"/>
          <w:numId w:val="11"/>
        </w:numPr>
        <w:rPr>
          <w:rFonts w:eastAsia="Calibri"/>
          <w:lang w:val="pl-PL"/>
        </w:rPr>
      </w:pPr>
      <w:r w:rsidRPr="00C27745">
        <w:rPr>
          <w:rFonts w:eastAsia="Calibri"/>
          <w:sz w:val="22"/>
          <w:lang w:val="pl-PL"/>
        </w:rPr>
        <w:t>HD i DO: stężenie hemoglobiny (parametr określany co miesiąc)</w:t>
      </w:r>
    </w:p>
    <w:p w14:paraId="112EA42C" w14:textId="77777777" w:rsidR="00C27745" w:rsidRPr="00C27745" w:rsidRDefault="00C27745" w:rsidP="00C27745">
      <w:pPr>
        <w:pStyle w:val="EYBulletedList1"/>
        <w:numPr>
          <w:ilvl w:val="1"/>
          <w:numId w:val="11"/>
        </w:numPr>
        <w:rPr>
          <w:rFonts w:eastAsia="Calibri"/>
          <w:sz w:val="22"/>
          <w:lang w:val="pl-PL"/>
        </w:rPr>
      </w:pPr>
      <w:r w:rsidRPr="00C27745">
        <w:rPr>
          <w:rFonts w:eastAsia="Calibri"/>
          <w:sz w:val="22"/>
          <w:lang w:val="pl-PL"/>
        </w:rPr>
        <w:t xml:space="preserve">HD: gospodarka wapniowo-fosforanowa </w:t>
      </w:r>
    </w:p>
    <w:p w14:paraId="5B91ABF0" w14:textId="77777777" w:rsidR="00C27745" w:rsidRDefault="00C27745" w:rsidP="00060165">
      <w:pPr>
        <w:pStyle w:val="EYBulletedList1"/>
        <w:numPr>
          <w:ilvl w:val="2"/>
          <w:numId w:val="11"/>
        </w:numPr>
        <w:rPr>
          <w:rFonts w:eastAsia="Calibri"/>
          <w:sz w:val="22"/>
          <w:lang w:val="pl-PL"/>
        </w:rPr>
      </w:pPr>
      <w:r w:rsidRPr="00C27745">
        <w:rPr>
          <w:rFonts w:eastAsia="Calibri"/>
          <w:sz w:val="22"/>
          <w:lang w:val="pl-PL"/>
        </w:rPr>
        <w:t>stężenie parathormonu (PTH) (parametr określany co 6 miesięcy)</w:t>
      </w:r>
    </w:p>
    <w:p w14:paraId="2C14E699" w14:textId="2C904598" w:rsidR="00C27745" w:rsidRPr="00BE14BA" w:rsidRDefault="007A3BC8" w:rsidP="00060165">
      <w:pPr>
        <w:pStyle w:val="EYBulletedList1"/>
        <w:numPr>
          <w:ilvl w:val="2"/>
          <w:numId w:val="11"/>
        </w:numPr>
        <w:rPr>
          <w:rFonts w:eastAsia="Calibri"/>
          <w:sz w:val="22"/>
          <w:lang w:val="pl-PL"/>
        </w:rPr>
      </w:pPr>
      <w:r>
        <w:rPr>
          <w:rFonts w:eastAsia="Calibri"/>
          <w:sz w:val="22"/>
          <w:lang w:val="pl-PL"/>
        </w:rPr>
        <w:t>s</w:t>
      </w:r>
      <w:r w:rsidR="00C27745" w:rsidRPr="00452B87">
        <w:rPr>
          <w:rFonts w:eastAsia="Calibri"/>
          <w:sz w:val="22"/>
          <w:lang w:val="pl-PL"/>
        </w:rPr>
        <w:t>tężenie fosforanów (parametr określany co miesiąc)</w:t>
      </w:r>
    </w:p>
    <w:p w14:paraId="724775FC" w14:textId="77777777" w:rsidR="00C27745" w:rsidRPr="00C27745" w:rsidRDefault="00C27745" w:rsidP="00060165">
      <w:pPr>
        <w:pStyle w:val="EYBulletedList1"/>
        <w:numPr>
          <w:ilvl w:val="1"/>
          <w:numId w:val="11"/>
        </w:numPr>
        <w:rPr>
          <w:rFonts w:eastAsia="Calibri"/>
          <w:sz w:val="22"/>
          <w:lang w:val="pl-PL"/>
        </w:rPr>
      </w:pPr>
      <w:r w:rsidRPr="00C27745">
        <w:rPr>
          <w:rFonts w:eastAsia="Calibri"/>
          <w:sz w:val="22"/>
          <w:lang w:val="pl-PL"/>
        </w:rPr>
        <w:t xml:space="preserve">DO: gospodarka wapniowo-fosforanowa </w:t>
      </w:r>
    </w:p>
    <w:p w14:paraId="3A863E9B" w14:textId="77777777" w:rsidR="00C27745" w:rsidRPr="00C27745" w:rsidRDefault="00C27745" w:rsidP="00C27745">
      <w:pPr>
        <w:pStyle w:val="EYBulletedList1"/>
        <w:numPr>
          <w:ilvl w:val="2"/>
          <w:numId w:val="11"/>
        </w:numPr>
        <w:rPr>
          <w:rFonts w:eastAsia="Calibri"/>
          <w:sz w:val="22"/>
          <w:lang w:val="pl-PL"/>
        </w:rPr>
      </w:pPr>
      <w:r w:rsidRPr="00C27745">
        <w:rPr>
          <w:rFonts w:eastAsia="Calibri"/>
          <w:sz w:val="22"/>
          <w:lang w:val="pl-PL"/>
        </w:rPr>
        <w:t>stężenie parathormonu (PTH) (parametr określany co 6 miesięcy)</w:t>
      </w:r>
    </w:p>
    <w:p w14:paraId="22B73C76" w14:textId="35CAA1A6" w:rsidR="00C27745" w:rsidRPr="00060165" w:rsidRDefault="007A3BC8" w:rsidP="00060165">
      <w:pPr>
        <w:pStyle w:val="EYBulletedList1"/>
        <w:numPr>
          <w:ilvl w:val="2"/>
          <w:numId w:val="11"/>
        </w:numPr>
        <w:rPr>
          <w:rFonts w:eastAsia="Calibri"/>
          <w:lang w:val="pl-PL"/>
        </w:rPr>
      </w:pPr>
      <w:r>
        <w:rPr>
          <w:rFonts w:eastAsia="Calibri"/>
          <w:sz w:val="22"/>
          <w:lang w:val="pl-PL"/>
        </w:rPr>
        <w:t>s</w:t>
      </w:r>
      <w:r w:rsidR="00C27745" w:rsidRPr="00C27745">
        <w:rPr>
          <w:rFonts w:eastAsia="Calibri"/>
          <w:sz w:val="22"/>
          <w:lang w:val="pl-PL"/>
        </w:rPr>
        <w:t>tężenie fosforanów (parametr określany co 6 tygodni)</w:t>
      </w:r>
    </w:p>
    <w:p w14:paraId="7D7F730A" w14:textId="77777777" w:rsidR="00A856E7" w:rsidRPr="00C23692" w:rsidRDefault="00A856E7" w:rsidP="00F84B72">
      <w:pPr>
        <w:pStyle w:val="EYBulletedList1"/>
        <w:numPr>
          <w:ilvl w:val="1"/>
          <w:numId w:val="11"/>
        </w:numPr>
        <w:jc w:val="both"/>
        <w:rPr>
          <w:rFonts w:eastAsia="Calibri"/>
          <w:lang w:val="pl-PL"/>
        </w:rPr>
      </w:pPr>
      <w:r>
        <w:rPr>
          <w:rFonts w:eastAsia="Calibri"/>
          <w:sz w:val="22"/>
          <w:lang w:val="pl-PL"/>
        </w:rPr>
        <w:t>p</w:t>
      </w:r>
      <w:r w:rsidRPr="00947753">
        <w:rPr>
          <w:rFonts w:eastAsia="Calibri"/>
          <w:sz w:val="22"/>
          <w:lang w:val="pl-PL"/>
        </w:rPr>
        <w:t>owikłania infekcyjne w postaci zapalenia otrzewnej (DZO) w dializie otrzewnowej</w:t>
      </w:r>
      <w:r>
        <w:rPr>
          <w:rFonts w:eastAsia="Calibri"/>
          <w:sz w:val="22"/>
          <w:lang w:val="pl-PL"/>
        </w:rPr>
        <w:t xml:space="preserve"> – liczba</w:t>
      </w:r>
      <w:r w:rsidRPr="00947753">
        <w:rPr>
          <w:rFonts w:eastAsia="Calibri"/>
          <w:sz w:val="22"/>
          <w:lang w:val="pl-PL"/>
        </w:rPr>
        <w:t xml:space="preserve"> incydentów/1 pacjenta/rok</w:t>
      </w:r>
    </w:p>
    <w:p w14:paraId="1D6D4E41" w14:textId="77777777" w:rsidR="006215CB" w:rsidRPr="004E62AC" w:rsidRDefault="006215CB" w:rsidP="00F84B72">
      <w:pPr>
        <w:pStyle w:val="EYBulletedList1"/>
        <w:numPr>
          <w:ilvl w:val="0"/>
          <w:numId w:val="11"/>
        </w:numPr>
        <w:jc w:val="both"/>
        <w:rPr>
          <w:rFonts w:eastAsia="Calibri"/>
          <w:szCs w:val="22"/>
          <w:lang w:val="pl-PL"/>
        </w:rPr>
      </w:pPr>
      <w:r w:rsidRPr="004E62AC">
        <w:rPr>
          <w:rFonts w:eastAsia="Calibri"/>
          <w:sz w:val="22"/>
          <w:szCs w:val="22"/>
          <w:lang w:val="pl-PL"/>
        </w:rPr>
        <w:t>W obszarze</w:t>
      </w:r>
      <w:r w:rsidR="00A856E7">
        <w:rPr>
          <w:rFonts w:eastAsia="Calibri"/>
          <w:sz w:val="22"/>
          <w:szCs w:val="22"/>
          <w:lang w:val="pl-PL"/>
        </w:rPr>
        <w:t xml:space="preserve"> transplantologii</w:t>
      </w:r>
    </w:p>
    <w:p w14:paraId="055FE4C4" w14:textId="33CA5AF6" w:rsidR="00D84287" w:rsidRPr="00CE4DC8" w:rsidRDefault="000F7233" w:rsidP="00130AC9">
      <w:pPr>
        <w:pStyle w:val="EYBulletedList1"/>
        <w:numPr>
          <w:ilvl w:val="1"/>
          <w:numId w:val="11"/>
        </w:numPr>
        <w:jc w:val="both"/>
        <w:rPr>
          <w:rFonts w:eastAsia="Calibri"/>
          <w:lang w:val="pl-PL"/>
        </w:rPr>
      </w:pPr>
      <w:r w:rsidRPr="000F7233">
        <w:rPr>
          <w:rFonts w:eastAsia="Calibri"/>
          <w:sz w:val="22"/>
          <w:lang w:val="pl-PL"/>
        </w:rPr>
        <w:t>odsetek pacjentów zgłoszonych do przeszczep</w:t>
      </w:r>
      <w:r w:rsidR="00EA04D9">
        <w:rPr>
          <w:rFonts w:eastAsia="Calibri"/>
          <w:sz w:val="22"/>
          <w:lang w:val="pl-PL"/>
        </w:rPr>
        <w:t>ienia</w:t>
      </w:r>
      <w:r w:rsidRPr="000F7233">
        <w:rPr>
          <w:rFonts w:eastAsia="Calibri"/>
          <w:sz w:val="22"/>
          <w:lang w:val="pl-PL"/>
        </w:rPr>
        <w:t xml:space="preserve"> nerki</w:t>
      </w:r>
      <w:r>
        <w:rPr>
          <w:rFonts w:eastAsia="Calibri"/>
          <w:sz w:val="22"/>
          <w:lang w:val="pl-PL"/>
        </w:rPr>
        <w:t xml:space="preserve"> -</w:t>
      </w:r>
      <w:r w:rsidR="00491092">
        <w:rPr>
          <w:rFonts w:eastAsia="Calibri"/>
          <w:sz w:val="22"/>
          <w:lang w:val="pl-PL"/>
        </w:rPr>
        <w:t xml:space="preserve"> suma liczby</w:t>
      </w:r>
      <w:r w:rsidR="00415A97">
        <w:rPr>
          <w:rFonts w:eastAsia="Calibri"/>
          <w:sz w:val="22"/>
          <w:lang w:val="pl-PL"/>
        </w:rPr>
        <w:t xml:space="preserve"> chorych</w:t>
      </w:r>
      <w:r w:rsidR="00491092">
        <w:rPr>
          <w:rFonts w:eastAsia="Calibri"/>
          <w:sz w:val="22"/>
          <w:lang w:val="pl-PL"/>
        </w:rPr>
        <w:t xml:space="preserve"> </w:t>
      </w:r>
      <w:r w:rsidR="00415A97">
        <w:rPr>
          <w:rFonts w:eastAsia="Calibri"/>
          <w:sz w:val="22"/>
          <w:lang w:val="pl-PL"/>
        </w:rPr>
        <w:t>aktywnych na KLO, zgłoszonych do kwalifikacji w ROK, czasowo zawieszonych</w:t>
      </w:r>
      <w:r w:rsidR="00491092">
        <w:rPr>
          <w:rFonts w:eastAsia="Calibri"/>
          <w:sz w:val="22"/>
          <w:lang w:val="pl-PL"/>
        </w:rPr>
        <w:t xml:space="preserve"> </w:t>
      </w:r>
      <w:r w:rsidR="00415A97">
        <w:rPr>
          <w:rFonts w:eastAsia="Calibri"/>
          <w:sz w:val="22"/>
          <w:lang w:val="pl-PL"/>
        </w:rPr>
        <w:t xml:space="preserve">na </w:t>
      </w:r>
      <w:r w:rsidR="00491092">
        <w:rPr>
          <w:rFonts w:eastAsia="Calibri"/>
          <w:sz w:val="22"/>
          <w:lang w:val="pl-PL"/>
        </w:rPr>
        <w:t>koniec okresu rozliczeniowego + liczba chorych przeszczepionych w okresie rozliczeniowym podzielona przez średnią liczbę chorych dializowanych w okresie rozliczeniowym wyrażona w procentach</w:t>
      </w:r>
      <w:r w:rsidRPr="004E62AC" w:rsidDel="000F7233">
        <w:rPr>
          <w:rFonts w:eastAsia="Calibri"/>
          <w:sz w:val="22"/>
          <w:lang w:val="pl-PL"/>
        </w:rPr>
        <w:t xml:space="preserve"> </w:t>
      </w:r>
    </w:p>
    <w:p w14:paraId="4AD7DBD0" w14:textId="77777777" w:rsidR="00A303B5" w:rsidRPr="004E62AC" w:rsidRDefault="00A303B5" w:rsidP="004E62AC">
      <w:pPr>
        <w:pStyle w:val="EYBulletedList1"/>
        <w:numPr>
          <w:ilvl w:val="0"/>
          <w:numId w:val="0"/>
        </w:numPr>
        <w:ind w:left="288" w:hanging="288"/>
        <w:jc w:val="both"/>
        <w:rPr>
          <w:rFonts w:eastAsia="Calibri"/>
          <w:lang w:val="pl-PL"/>
        </w:rPr>
      </w:pPr>
      <w:r w:rsidRPr="004E62AC">
        <w:rPr>
          <w:rFonts w:eastAsia="Calibri"/>
          <w:sz w:val="22"/>
          <w:lang w:val="pl-PL"/>
        </w:rPr>
        <w:t xml:space="preserve">Dla populacji pacjentów </w:t>
      </w:r>
      <w:r w:rsidR="00C310EB">
        <w:rPr>
          <w:rFonts w:eastAsia="Calibri"/>
          <w:sz w:val="22"/>
          <w:lang w:val="pl-PL"/>
        </w:rPr>
        <w:t xml:space="preserve">przed </w:t>
      </w:r>
      <w:r w:rsidRPr="004E62AC">
        <w:rPr>
          <w:rFonts w:eastAsia="Calibri"/>
          <w:sz w:val="22"/>
          <w:lang w:val="pl-PL"/>
        </w:rPr>
        <w:t>dializ</w:t>
      </w:r>
      <w:r w:rsidR="00C310EB">
        <w:rPr>
          <w:rFonts w:eastAsia="Calibri"/>
          <w:sz w:val="22"/>
          <w:lang w:val="pl-PL"/>
        </w:rPr>
        <w:t>ą</w:t>
      </w:r>
      <w:r w:rsidRPr="004E62AC">
        <w:rPr>
          <w:rFonts w:eastAsia="Calibri"/>
          <w:sz w:val="22"/>
          <w:lang w:val="pl-PL"/>
        </w:rPr>
        <w:t>:</w:t>
      </w:r>
    </w:p>
    <w:p w14:paraId="5618A5A2" w14:textId="77777777" w:rsidR="00A856E7" w:rsidRPr="003660F8" w:rsidRDefault="00A856E7" w:rsidP="00F84B72">
      <w:pPr>
        <w:pStyle w:val="EYBulletedList1"/>
        <w:numPr>
          <w:ilvl w:val="0"/>
          <w:numId w:val="11"/>
        </w:numPr>
        <w:jc w:val="both"/>
        <w:rPr>
          <w:rFonts w:eastAsia="Calibri"/>
          <w:sz w:val="22"/>
          <w:szCs w:val="22"/>
          <w:lang w:val="pl-PL"/>
        </w:rPr>
      </w:pPr>
      <w:r w:rsidRPr="003660F8">
        <w:rPr>
          <w:rFonts w:eastAsia="Calibri"/>
          <w:sz w:val="22"/>
          <w:szCs w:val="22"/>
          <w:lang w:val="pl-PL"/>
        </w:rPr>
        <w:t>W obszarze wyników leczenia</w:t>
      </w:r>
    </w:p>
    <w:p w14:paraId="4354D7FC" w14:textId="1935DE28" w:rsidR="00C27745" w:rsidRPr="003E0972" w:rsidRDefault="00C27745" w:rsidP="00C27745">
      <w:pPr>
        <w:pStyle w:val="EYBulletedList1"/>
        <w:numPr>
          <w:ilvl w:val="1"/>
          <w:numId w:val="11"/>
        </w:numPr>
        <w:jc w:val="both"/>
        <w:rPr>
          <w:rFonts w:eastAsia="Calibri"/>
          <w:lang w:val="pl-PL"/>
        </w:rPr>
      </w:pPr>
      <w:r>
        <w:rPr>
          <w:rFonts w:eastAsia="Calibri"/>
          <w:sz w:val="22"/>
          <w:lang w:val="pl-PL"/>
        </w:rPr>
        <w:t>liczba hospitalizacji/pacjenta/rok</w:t>
      </w:r>
      <w:r w:rsidR="00783261">
        <w:rPr>
          <w:rFonts w:eastAsia="Calibri"/>
          <w:sz w:val="22"/>
          <w:lang w:val="pl-PL"/>
        </w:rPr>
        <w:t xml:space="preserve"> (liczba przyjęć w roku)</w:t>
      </w:r>
    </w:p>
    <w:p w14:paraId="28EEBAC9" w14:textId="226D6B5B" w:rsidR="00C27745" w:rsidRPr="003E0972" w:rsidRDefault="00783261" w:rsidP="00C27745">
      <w:pPr>
        <w:pStyle w:val="EYBulletedList1"/>
        <w:numPr>
          <w:ilvl w:val="1"/>
          <w:numId w:val="11"/>
        </w:numPr>
        <w:jc w:val="both"/>
        <w:rPr>
          <w:rFonts w:eastAsia="Calibri"/>
          <w:lang w:val="pl-PL"/>
        </w:rPr>
      </w:pPr>
      <w:r>
        <w:rPr>
          <w:rFonts w:eastAsia="Calibri"/>
          <w:sz w:val="22"/>
          <w:lang w:val="pl-PL"/>
        </w:rPr>
        <w:t xml:space="preserve">długość </w:t>
      </w:r>
      <w:r w:rsidR="00C27745">
        <w:rPr>
          <w:rFonts w:eastAsia="Calibri"/>
          <w:sz w:val="22"/>
          <w:lang w:val="pl-PL"/>
        </w:rPr>
        <w:t>hospitalizacji/pacjenta/rok</w:t>
      </w:r>
      <w:r>
        <w:rPr>
          <w:rFonts w:eastAsia="Calibri"/>
          <w:sz w:val="22"/>
          <w:lang w:val="pl-PL"/>
        </w:rPr>
        <w:t xml:space="preserve"> (liczba dni w roku)</w:t>
      </w:r>
    </w:p>
    <w:p w14:paraId="6EEADE08" w14:textId="27519F0C" w:rsidR="00C27745" w:rsidRPr="00060165" w:rsidRDefault="00E9797D" w:rsidP="00452B87">
      <w:pPr>
        <w:pStyle w:val="EYBulletedList1"/>
        <w:numPr>
          <w:ilvl w:val="1"/>
          <w:numId w:val="11"/>
        </w:numPr>
        <w:jc w:val="both"/>
        <w:rPr>
          <w:rFonts w:eastAsia="Calibri"/>
          <w:sz w:val="22"/>
          <w:szCs w:val="22"/>
          <w:lang w:val="pl-PL"/>
        </w:rPr>
      </w:pPr>
      <w:r w:rsidRPr="00BE067D">
        <w:rPr>
          <w:rFonts w:eastAsia="Calibri"/>
          <w:sz w:val="22"/>
          <w:szCs w:val="22"/>
          <w:lang w:val="pl-PL"/>
        </w:rPr>
        <w:t xml:space="preserve">śmiertelność chorych </w:t>
      </w:r>
      <w:r w:rsidRPr="0065540F">
        <w:rPr>
          <w:rFonts w:eastAsia="Calibri"/>
          <w:sz w:val="22"/>
          <w:szCs w:val="22"/>
          <w:lang w:val="pl-PL"/>
        </w:rPr>
        <w:t>CKD 4 i CKD 5</w:t>
      </w:r>
      <w:r w:rsidR="00C27745" w:rsidRPr="00835025">
        <w:rPr>
          <w:rFonts w:eastAsia="Calibri"/>
          <w:sz w:val="22"/>
          <w:szCs w:val="22"/>
          <w:lang w:val="pl-PL"/>
        </w:rPr>
        <w:t xml:space="preserve"> - </w:t>
      </w:r>
      <w:r w:rsidR="00C27745" w:rsidRPr="00835025">
        <w:rPr>
          <w:rFonts w:eastAsia="Calibri"/>
          <w:color w:val="000000" w:themeColor="text1"/>
          <w:sz w:val="22"/>
          <w:szCs w:val="22"/>
          <w:lang w:val="pl-PL"/>
        </w:rPr>
        <w:t xml:space="preserve">śmiertelność </w:t>
      </w:r>
      <w:r w:rsidR="00C27745" w:rsidRPr="0065540F">
        <w:rPr>
          <w:rFonts w:eastAsia="Calibri"/>
          <w:color w:val="000000" w:themeColor="text1"/>
          <w:sz w:val="22"/>
          <w:szCs w:val="22"/>
          <w:lang w:val="pl-PL"/>
        </w:rPr>
        <w:t xml:space="preserve">względem czasu </w:t>
      </w:r>
      <w:r w:rsidR="00130AC9" w:rsidRPr="0065540F">
        <w:rPr>
          <w:rFonts w:eastAsia="Calibri"/>
          <w:color w:val="000000" w:themeColor="text1"/>
          <w:sz w:val="22"/>
          <w:szCs w:val="22"/>
          <w:lang w:val="pl-PL"/>
        </w:rPr>
        <w:t>osiągnięcia stopnia CKD 4</w:t>
      </w:r>
      <w:r w:rsidR="00130AC9" w:rsidRPr="003F23F8">
        <w:rPr>
          <w:rFonts w:eastAsia="Calibri"/>
          <w:color w:val="000000" w:themeColor="text1"/>
          <w:sz w:val="22"/>
          <w:szCs w:val="22"/>
          <w:lang w:val="pl-PL"/>
        </w:rPr>
        <w:t xml:space="preserve"> </w:t>
      </w:r>
      <w:r w:rsidR="00C27745" w:rsidRPr="00835025">
        <w:rPr>
          <w:rFonts w:eastAsia="Calibri"/>
          <w:color w:val="000000" w:themeColor="text1"/>
          <w:sz w:val="22"/>
          <w:szCs w:val="22"/>
          <w:lang w:val="pl-PL"/>
        </w:rPr>
        <w:t>liczona według algorytmu: liczba z</w:t>
      </w:r>
      <w:r w:rsidR="00C27745" w:rsidRPr="0065540F">
        <w:rPr>
          <w:rFonts w:eastAsia="Calibri"/>
          <w:sz w:val="22"/>
          <w:szCs w:val="22"/>
          <w:lang w:val="pl-PL"/>
        </w:rPr>
        <w:t xml:space="preserve">gonów </w:t>
      </w:r>
      <w:r w:rsidR="003D20E7">
        <w:rPr>
          <w:rFonts w:eastAsia="Calibri"/>
          <w:sz w:val="22"/>
          <w:szCs w:val="22"/>
          <w:lang w:val="pl-PL"/>
        </w:rPr>
        <w:t xml:space="preserve">chorych CKD4 i CKD5 </w:t>
      </w:r>
      <w:r w:rsidR="00C27745" w:rsidRPr="0065540F">
        <w:rPr>
          <w:rFonts w:eastAsia="Calibri"/>
          <w:sz w:val="22"/>
          <w:szCs w:val="22"/>
          <w:lang w:val="pl-PL"/>
        </w:rPr>
        <w:t xml:space="preserve">w miesiącu podzielona przez średnią z liczby chorych </w:t>
      </w:r>
      <w:r w:rsidR="00C27745" w:rsidRPr="00835025">
        <w:rPr>
          <w:rFonts w:eastAsia="Calibri"/>
          <w:sz w:val="22"/>
          <w:szCs w:val="22"/>
          <w:lang w:val="pl-PL"/>
        </w:rPr>
        <w:t>na początku i na końcu miesiąca, wyrażona w procentach</w:t>
      </w:r>
      <w:r w:rsidR="00C27745" w:rsidRPr="00FD0F13">
        <w:rPr>
          <w:rFonts w:eastAsia="Calibri"/>
          <w:szCs w:val="22"/>
          <w:lang w:val="pl-PL"/>
        </w:rPr>
        <w:t xml:space="preserve"> </w:t>
      </w:r>
    </w:p>
    <w:p w14:paraId="63CD3F98" w14:textId="77777777" w:rsidR="00A856E7" w:rsidRPr="00E9797D" w:rsidRDefault="00A856E7" w:rsidP="00F84B72">
      <w:pPr>
        <w:pStyle w:val="EYBulletedList1"/>
        <w:numPr>
          <w:ilvl w:val="0"/>
          <w:numId w:val="11"/>
        </w:numPr>
        <w:jc w:val="both"/>
        <w:rPr>
          <w:rFonts w:eastAsia="Calibri"/>
          <w:szCs w:val="22"/>
          <w:lang w:val="pl-PL"/>
        </w:rPr>
      </w:pPr>
      <w:r w:rsidRPr="00E9797D">
        <w:rPr>
          <w:rFonts w:eastAsia="Calibri"/>
          <w:sz w:val="22"/>
          <w:szCs w:val="22"/>
          <w:lang w:val="pl-PL"/>
        </w:rPr>
        <w:t>W obszarze parametrów leczenia</w:t>
      </w:r>
    </w:p>
    <w:p w14:paraId="25681C44" w14:textId="3809F23E" w:rsidR="00021A86" w:rsidRPr="00021A86" w:rsidRDefault="00021A86" w:rsidP="00F84B72">
      <w:pPr>
        <w:pStyle w:val="EYBulletedList1"/>
        <w:numPr>
          <w:ilvl w:val="1"/>
          <w:numId w:val="11"/>
        </w:numPr>
        <w:jc w:val="both"/>
        <w:rPr>
          <w:rFonts w:eastAsia="Calibri"/>
          <w:lang w:val="pl-PL"/>
        </w:rPr>
      </w:pPr>
      <w:r>
        <w:rPr>
          <w:rFonts w:eastAsia="Calibri"/>
          <w:sz w:val="22"/>
          <w:lang w:val="pl-PL"/>
        </w:rPr>
        <w:lastRenderedPageBreak/>
        <w:t>s</w:t>
      </w:r>
      <w:r w:rsidRPr="00021A86">
        <w:rPr>
          <w:rFonts w:eastAsia="Calibri"/>
          <w:sz w:val="22"/>
          <w:lang w:val="pl-PL"/>
        </w:rPr>
        <w:t>tan nawodnienia oceniany poprzez pomiar ciśnienia tętniczego krwi (parametr określany co 3 miesiące)</w:t>
      </w:r>
    </w:p>
    <w:p w14:paraId="3CA33D7D" w14:textId="26112D7A" w:rsidR="00491092" w:rsidRPr="00060165" w:rsidRDefault="00491092" w:rsidP="00F84B72">
      <w:pPr>
        <w:pStyle w:val="EYBulletedList1"/>
        <w:numPr>
          <w:ilvl w:val="1"/>
          <w:numId w:val="11"/>
        </w:numPr>
        <w:jc w:val="both"/>
        <w:rPr>
          <w:rFonts w:eastAsia="Calibri"/>
          <w:lang w:val="pl-PL"/>
        </w:rPr>
      </w:pPr>
      <w:r w:rsidRPr="00491092">
        <w:rPr>
          <w:rFonts w:eastAsia="Calibri"/>
          <w:sz w:val="22"/>
          <w:lang w:val="pl-PL"/>
        </w:rPr>
        <w:t xml:space="preserve">stan odżywienia pacjentów mierzony metodą </w:t>
      </w:r>
      <w:proofErr w:type="spellStart"/>
      <w:r w:rsidRPr="00491092">
        <w:rPr>
          <w:rFonts w:eastAsia="Calibri"/>
          <w:sz w:val="22"/>
          <w:lang w:val="pl-PL"/>
        </w:rPr>
        <w:t>bioimpedancji</w:t>
      </w:r>
      <w:proofErr w:type="spellEnd"/>
      <w:r w:rsidRPr="00491092">
        <w:rPr>
          <w:rFonts w:eastAsia="Calibri"/>
          <w:sz w:val="22"/>
          <w:lang w:val="pl-PL"/>
        </w:rPr>
        <w:t xml:space="preserve"> lub na podstawie stężenia albumin i kreatyniny </w:t>
      </w:r>
      <w:r w:rsidR="003F23F8">
        <w:rPr>
          <w:rFonts w:eastAsia="Calibri"/>
          <w:sz w:val="22"/>
          <w:lang w:val="pl-PL"/>
        </w:rPr>
        <w:t xml:space="preserve">albo w </w:t>
      </w:r>
      <w:r w:rsidR="00130AC9">
        <w:rPr>
          <w:rFonts w:eastAsia="Calibri"/>
          <w:sz w:val="22"/>
          <w:lang w:val="pl-PL"/>
        </w:rPr>
        <w:t xml:space="preserve">skali SGA </w:t>
      </w:r>
      <w:r w:rsidRPr="00491092">
        <w:rPr>
          <w:rFonts w:eastAsia="Calibri"/>
          <w:sz w:val="22"/>
          <w:lang w:val="pl-PL"/>
        </w:rPr>
        <w:t>(parametr określany co 3 miesiące)</w:t>
      </w:r>
    </w:p>
    <w:p w14:paraId="2FFB18D8" w14:textId="77777777" w:rsidR="00CF137A" w:rsidRPr="00060165" w:rsidRDefault="00CF137A" w:rsidP="00F84B72">
      <w:pPr>
        <w:pStyle w:val="EYBulletedList1"/>
        <w:numPr>
          <w:ilvl w:val="1"/>
          <w:numId w:val="11"/>
        </w:numPr>
        <w:jc w:val="both"/>
        <w:rPr>
          <w:rFonts w:eastAsia="Calibri"/>
          <w:lang w:val="pl-PL"/>
        </w:rPr>
      </w:pPr>
      <w:r w:rsidRPr="00543F94">
        <w:rPr>
          <w:rFonts w:eastAsia="Calibri"/>
          <w:sz w:val="22"/>
          <w:lang w:val="pl-PL"/>
        </w:rPr>
        <w:t xml:space="preserve">leczenie niedokrwistości </w:t>
      </w:r>
      <w:r>
        <w:rPr>
          <w:rFonts w:eastAsia="Calibri"/>
          <w:sz w:val="22"/>
          <w:lang w:val="pl-PL"/>
        </w:rPr>
        <w:t xml:space="preserve">- </w:t>
      </w:r>
      <w:r w:rsidRPr="00CF137A">
        <w:rPr>
          <w:rFonts w:eastAsia="Calibri"/>
          <w:sz w:val="22"/>
          <w:lang w:val="pl-PL"/>
        </w:rPr>
        <w:t xml:space="preserve">stężenie hemoglobiny </w:t>
      </w:r>
    </w:p>
    <w:p w14:paraId="233B4058" w14:textId="0F6C8C3C" w:rsidR="00491092" w:rsidRPr="00060165" w:rsidRDefault="00491092" w:rsidP="00491092">
      <w:pPr>
        <w:pStyle w:val="EYBulletedList1"/>
        <w:numPr>
          <w:ilvl w:val="1"/>
          <w:numId w:val="11"/>
        </w:numPr>
        <w:jc w:val="both"/>
        <w:rPr>
          <w:rFonts w:eastAsia="Calibri"/>
          <w:lang w:val="pl-PL"/>
        </w:rPr>
      </w:pPr>
      <w:r>
        <w:rPr>
          <w:rFonts w:eastAsia="Calibri"/>
          <w:sz w:val="22"/>
          <w:lang w:val="pl-PL"/>
        </w:rPr>
        <w:t>leczenie zaburzeń gospodarki wapnio</w:t>
      </w:r>
      <w:r w:rsidR="007A3BC8">
        <w:rPr>
          <w:rFonts w:eastAsia="Calibri"/>
          <w:sz w:val="22"/>
          <w:lang w:val="pl-PL"/>
        </w:rPr>
        <w:t>wo-fosforanowej</w:t>
      </w:r>
    </w:p>
    <w:p w14:paraId="524C955E" w14:textId="77777777" w:rsidR="007A3BC8" w:rsidRPr="00C27745" w:rsidRDefault="007A3BC8" w:rsidP="007A3BC8">
      <w:pPr>
        <w:pStyle w:val="EYBulletedList1"/>
        <w:numPr>
          <w:ilvl w:val="2"/>
          <w:numId w:val="11"/>
        </w:numPr>
        <w:rPr>
          <w:rFonts w:eastAsia="Calibri"/>
          <w:sz w:val="22"/>
          <w:lang w:val="pl-PL"/>
        </w:rPr>
      </w:pPr>
      <w:r w:rsidRPr="00C27745">
        <w:rPr>
          <w:rFonts w:eastAsia="Calibri"/>
          <w:sz w:val="22"/>
          <w:lang w:val="pl-PL"/>
        </w:rPr>
        <w:t>stężenie parathormonu (PTH) (parametr określany co 6 miesięcy)</w:t>
      </w:r>
    </w:p>
    <w:p w14:paraId="01074847" w14:textId="520AC571" w:rsidR="007A3BC8" w:rsidRPr="00452B87" w:rsidRDefault="007A3BC8" w:rsidP="00060165">
      <w:pPr>
        <w:pStyle w:val="EYBulletedList1"/>
        <w:numPr>
          <w:ilvl w:val="2"/>
          <w:numId w:val="11"/>
        </w:numPr>
        <w:rPr>
          <w:rFonts w:eastAsia="Calibri"/>
          <w:lang w:val="pl-PL"/>
        </w:rPr>
      </w:pPr>
      <w:r>
        <w:rPr>
          <w:rFonts w:eastAsia="Calibri"/>
          <w:sz w:val="22"/>
          <w:lang w:val="pl-PL"/>
        </w:rPr>
        <w:t>s</w:t>
      </w:r>
      <w:r w:rsidRPr="00C27745">
        <w:rPr>
          <w:rFonts w:eastAsia="Calibri"/>
          <w:sz w:val="22"/>
          <w:lang w:val="pl-PL"/>
        </w:rPr>
        <w:t>tężenie fosforanów (parametr określany co 6 tygodni)</w:t>
      </w:r>
    </w:p>
    <w:p w14:paraId="44FC76B4" w14:textId="65CE8E66" w:rsidR="000B4B92" w:rsidRDefault="000B4B92" w:rsidP="00CF137A">
      <w:pPr>
        <w:rPr>
          <w:lang w:val="pl-PL"/>
        </w:rPr>
      </w:pPr>
      <w:r>
        <w:rPr>
          <w:rFonts w:eastAsia="Calibri"/>
          <w:lang w:val="pl-PL"/>
        </w:rPr>
        <w:t>Wprowadzanie wskaźników</w:t>
      </w:r>
      <w:r w:rsidR="00EA04D9">
        <w:rPr>
          <w:rFonts w:eastAsia="Calibri"/>
          <w:lang w:val="pl-PL"/>
        </w:rPr>
        <w:t xml:space="preserve"> wspierających </w:t>
      </w:r>
      <w:r>
        <w:rPr>
          <w:rFonts w:eastAsia="Calibri"/>
          <w:lang w:val="pl-PL"/>
        </w:rPr>
        <w:t>kontrolowanie jakości powinno zostać wdrożone etapowo. Proponuje się</w:t>
      </w:r>
      <w:r w:rsidR="00EA04D9">
        <w:rPr>
          <w:rFonts w:eastAsia="Calibri"/>
          <w:lang w:val="pl-PL"/>
        </w:rPr>
        <w:t>,</w:t>
      </w:r>
      <w:r>
        <w:rPr>
          <w:rFonts w:eastAsia="Calibri"/>
          <w:lang w:val="pl-PL"/>
        </w:rPr>
        <w:t xml:space="preserve"> by </w:t>
      </w:r>
      <w:r>
        <w:rPr>
          <w:lang w:val="pl-PL"/>
        </w:rPr>
        <w:t>wybrane wskaźniki zostały</w:t>
      </w:r>
      <w:r w:rsidRPr="007C1D2C">
        <w:rPr>
          <w:lang w:val="pl-PL"/>
        </w:rPr>
        <w:t xml:space="preserve"> przetestowane w programie pilotażowym zanim zostaną zaimplementowane na </w:t>
      </w:r>
      <w:r w:rsidR="00EA04D9">
        <w:rPr>
          <w:lang w:val="pl-PL"/>
        </w:rPr>
        <w:t>skalę ogólnokrajową</w:t>
      </w:r>
      <w:r>
        <w:rPr>
          <w:lang w:val="pl-PL"/>
        </w:rPr>
        <w:t xml:space="preserve">. Ważne jest, aby </w:t>
      </w:r>
      <w:r w:rsidRPr="00B94B2D">
        <w:rPr>
          <w:lang w:val="pl-PL"/>
        </w:rPr>
        <w:t xml:space="preserve">wyniki </w:t>
      </w:r>
      <w:r>
        <w:rPr>
          <w:lang w:val="pl-PL"/>
        </w:rPr>
        <w:t xml:space="preserve">leczenia były </w:t>
      </w:r>
      <w:r w:rsidRPr="00B94B2D">
        <w:rPr>
          <w:lang w:val="pl-PL"/>
        </w:rPr>
        <w:t xml:space="preserve">oceniane dopiero wtedy, kiedy opieka koordynowana </w:t>
      </w:r>
      <w:r>
        <w:rPr>
          <w:lang w:val="pl-PL"/>
        </w:rPr>
        <w:t>stanie się</w:t>
      </w:r>
      <w:r w:rsidRPr="00B94B2D">
        <w:rPr>
          <w:lang w:val="pl-PL"/>
        </w:rPr>
        <w:t xml:space="preserve"> rutynową praktyką kliniczną</w:t>
      </w:r>
      <w:r>
        <w:rPr>
          <w:lang w:val="pl-PL"/>
        </w:rPr>
        <w:t xml:space="preserve">. </w:t>
      </w:r>
      <w:r w:rsidR="00403C32">
        <w:rPr>
          <w:lang w:val="pl-PL"/>
        </w:rPr>
        <w:t xml:space="preserve">Pilotaż trwający ok 2-3 lata pozwoli na obserwację parametrów osiąganych przez poszczególne jednostki koordynujące. </w:t>
      </w:r>
      <w:r>
        <w:rPr>
          <w:lang w:val="pl-PL"/>
        </w:rPr>
        <w:t xml:space="preserve">Wdrożenie na skalę </w:t>
      </w:r>
      <w:r w:rsidR="00EA04D9">
        <w:rPr>
          <w:lang w:val="pl-PL"/>
        </w:rPr>
        <w:t xml:space="preserve">krajową </w:t>
      </w:r>
      <w:r>
        <w:rPr>
          <w:lang w:val="pl-PL"/>
        </w:rPr>
        <w:t xml:space="preserve">w pierwszym kroku powinno </w:t>
      </w:r>
      <w:r w:rsidR="001E73D1">
        <w:rPr>
          <w:lang w:val="pl-PL"/>
        </w:rPr>
        <w:t xml:space="preserve">skutkować </w:t>
      </w:r>
      <w:r>
        <w:rPr>
          <w:lang w:val="pl-PL"/>
        </w:rPr>
        <w:t xml:space="preserve">obowiązkiem raportowania wyników mierzonych wskaźników przez jednostki koordynujące. </w:t>
      </w:r>
      <w:r w:rsidR="001E73D1">
        <w:rPr>
          <w:lang w:val="pl-PL"/>
        </w:rPr>
        <w:t xml:space="preserve">Pozwoli to na wprowadzenie transparentności związanej z jakością leczenia i umożliwi </w:t>
      </w:r>
      <w:r w:rsidR="00301547">
        <w:rPr>
          <w:lang w:val="pl-PL"/>
        </w:rPr>
        <w:t xml:space="preserve">pacjentom </w:t>
      </w:r>
      <w:r w:rsidR="001E73D1">
        <w:rPr>
          <w:lang w:val="pl-PL"/>
        </w:rPr>
        <w:t>świadomy wybór odpowiedniej placówki</w:t>
      </w:r>
      <w:r w:rsidR="00403C32">
        <w:rPr>
          <w:lang w:val="pl-PL"/>
        </w:rPr>
        <w:t>.</w:t>
      </w:r>
      <w:r w:rsidR="001E73D1">
        <w:rPr>
          <w:lang w:val="pl-PL"/>
        </w:rPr>
        <w:t xml:space="preserve"> </w:t>
      </w:r>
      <w:r>
        <w:rPr>
          <w:lang w:val="pl-PL"/>
        </w:rPr>
        <w:t>Już sam fakt raportowania</w:t>
      </w:r>
      <w:r w:rsidR="00CD2203">
        <w:rPr>
          <w:lang w:val="pl-PL"/>
        </w:rPr>
        <w:t>, którego wyniki będą dostępne publicznie,</w:t>
      </w:r>
      <w:r>
        <w:rPr>
          <w:lang w:val="pl-PL"/>
        </w:rPr>
        <w:t xml:space="preserve"> będzie dla jednostek koordynujących mobilizujący i wspierający dbanie o jakość.</w:t>
      </w:r>
      <w:r w:rsidR="007301EA" w:rsidRPr="007301EA">
        <w:rPr>
          <w:lang w:val="pl-PL"/>
        </w:rPr>
        <w:t xml:space="preserve"> </w:t>
      </w:r>
      <w:r w:rsidR="007301EA">
        <w:rPr>
          <w:lang w:val="pl-PL"/>
        </w:rPr>
        <w:t>W tym samym etapie należy zdefiniować wielkości populacji dla poszczególnych parametrów, które powinny stać się poziomem oczekiwanym spełniania danego parametru. Rekomenduje się by jednostki koordynujące raportowały osiągane wyniki w trybie rocznym</w:t>
      </w:r>
      <w:r w:rsidR="00BC70CE">
        <w:rPr>
          <w:lang w:val="pl-PL"/>
        </w:rPr>
        <w:t>.</w:t>
      </w:r>
      <w:r w:rsidR="007301EA">
        <w:rPr>
          <w:lang w:val="pl-PL"/>
        </w:rPr>
        <w:t xml:space="preserve">  </w:t>
      </w:r>
      <w:r>
        <w:rPr>
          <w:lang w:val="pl-PL"/>
        </w:rPr>
        <w:t>Kolejnym etapem w procesie wdrażania wskaźników powinno być wprowadzenie obowiązku opracowywania planów naprawczych w przypadku</w:t>
      </w:r>
      <w:r w:rsidR="001E73D1">
        <w:rPr>
          <w:lang w:val="pl-PL"/>
        </w:rPr>
        <w:t>,</w:t>
      </w:r>
      <w:r>
        <w:rPr>
          <w:lang w:val="pl-PL"/>
        </w:rPr>
        <w:t xml:space="preserve"> kiedy wartości oczekiwane</w:t>
      </w:r>
      <w:r w:rsidR="001E73D1" w:rsidRPr="001E73D1">
        <w:rPr>
          <w:lang w:val="pl-PL"/>
        </w:rPr>
        <w:t xml:space="preserve"> </w:t>
      </w:r>
      <w:r w:rsidR="001E73D1">
        <w:rPr>
          <w:lang w:val="pl-PL"/>
        </w:rPr>
        <w:t>nie są osiągane</w:t>
      </w:r>
      <w:r>
        <w:rPr>
          <w:lang w:val="pl-PL"/>
        </w:rPr>
        <w:t xml:space="preserve">, a następnie </w:t>
      </w:r>
      <w:r w:rsidR="00BC70CE">
        <w:rPr>
          <w:lang w:val="pl-PL"/>
        </w:rPr>
        <w:t xml:space="preserve">egzekwowanie </w:t>
      </w:r>
      <w:r>
        <w:rPr>
          <w:lang w:val="pl-PL"/>
        </w:rPr>
        <w:t>wdr</w:t>
      </w:r>
      <w:r w:rsidR="001E73D1">
        <w:rPr>
          <w:lang w:val="pl-PL"/>
        </w:rPr>
        <w:t>o</w:t>
      </w:r>
      <w:r>
        <w:rPr>
          <w:lang w:val="pl-PL"/>
        </w:rPr>
        <w:t>ż</w:t>
      </w:r>
      <w:r w:rsidR="001E73D1">
        <w:rPr>
          <w:lang w:val="pl-PL"/>
        </w:rPr>
        <w:t>e</w:t>
      </w:r>
      <w:r>
        <w:rPr>
          <w:lang w:val="pl-PL"/>
        </w:rPr>
        <w:t>nia tych planów.</w:t>
      </w:r>
      <w:r w:rsidR="00403C32">
        <w:rPr>
          <w:lang w:val="pl-PL"/>
        </w:rPr>
        <w:t xml:space="preserve"> </w:t>
      </w:r>
      <w:r>
        <w:rPr>
          <w:lang w:val="pl-PL"/>
        </w:rPr>
        <w:t xml:space="preserve">W </w:t>
      </w:r>
      <w:r w:rsidR="001E73D1">
        <w:rPr>
          <w:lang w:val="pl-PL"/>
        </w:rPr>
        <w:t>końcowym etapie wdrażania modelu, korzystne przekroczenia</w:t>
      </w:r>
      <w:r>
        <w:rPr>
          <w:lang w:val="pl-PL"/>
        </w:rPr>
        <w:t xml:space="preserve"> wartości oczekiwanych powinn</w:t>
      </w:r>
      <w:r w:rsidR="001E73D1">
        <w:rPr>
          <w:lang w:val="pl-PL"/>
        </w:rPr>
        <w:t xml:space="preserve">y być nagradzane przez płatnika, a </w:t>
      </w:r>
      <w:r>
        <w:rPr>
          <w:lang w:val="pl-PL"/>
        </w:rPr>
        <w:t>niespełnianie wymogów</w:t>
      </w:r>
      <w:r w:rsidR="001E73D1">
        <w:rPr>
          <w:lang w:val="pl-PL"/>
        </w:rPr>
        <w:t xml:space="preserve"> –</w:t>
      </w:r>
      <w:r>
        <w:rPr>
          <w:lang w:val="pl-PL"/>
        </w:rPr>
        <w:t xml:space="preserve"> karane.</w:t>
      </w:r>
      <w:r w:rsidR="007301EA">
        <w:rPr>
          <w:lang w:val="pl-PL"/>
        </w:rPr>
        <w:t xml:space="preserve"> </w:t>
      </w:r>
    </w:p>
    <w:p w14:paraId="01A88856" w14:textId="3BA0B1A0" w:rsidR="000C3EA2" w:rsidRPr="00060165" w:rsidRDefault="000C3EA2" w:rsidP="00060165">
      <w:pPr>
        <w:pStyle w:val="Legenda"/>
        <w:keepNext/>
        <w:rPr>
          <w:b/>
          <w:i w:val="0"/>
          <w:color w:val="auto"/>
          <w:lang w:val="pl-PL"/>
        </w:rPr>
      </w:pPr>
      <w:bookmarkStart w:id="126" w:name="_Toc486537962"/>
      <w:r w:rsidRPr="00060165">
        <w:rPr>
          <w:b/>
          <w:i w:val="0"/>
          <w:color w:val="auto"/>
          <w:lang w:val="pl-PL"/>
        </w:rPr>
        <w:t xml:space="preserve">Rysunek </w:t>
      </w:r>
      <w:r w:rsidRPr="00060165">
        <w:rPr>
          <w:b/>
          <w:i w:val="0"/>
          <w:color w:val="auto"/>
          <w:lang w:val="pl-PL"/>
        </w:rPr>
        <w:fldChar w:fldCharType="begin"/>
      </w:r>
      <w:r w:rsidRPr="00060165">
        <w:rPr>
          <w:b/>
          <w:i w:val="0"/>
          <w:color w:val="auto"/>
          <w:lang w:val="pl-PL"/>
        </w:rPr>
        <w:instrText xml:space="preserve"> SEQ Rysunek \* ARABIC </w:instrText>
      </w:r>
      <w:r w:rsidRPr="00060165">
        <w:rPr>
          <w:b/>
          <w:i w:val="0"/>
          <w:color w:val="auto"/>
          <w:lang w:val="pl-PL"/>
        </w:rPr>
        <w:fldChar w:fldCharType="separate"/>
      </w:r>
      <w:r w:rsidR="005C7285">
        <w:rPr>
          <w:b/>
          <w:i w:val="0"/>
          <w:noProof/>
          <w:color w:val="auto"/>
          <w:lang w:val="pl-PL"/>
        </w:rPr>
        <w:t>6</w:t>
      </w:r>
      <w:r w:rsidRPr="00060165">
        <w:rPr>
          <w:b/>
          <w:i w:val="0"/>
          <w:color w:val="auto"/>
          <w:lang w:val="pl-PL"/>
        </w:rPr>
        <w:fldChar w:fldCharType="end"/>
      </w:r>
      <w:r w:rsidRPr="00060165">
        <w:rPr>
          <w:b/>
          <w:i w:val="0"/>
          <w:color w:val="auto"/>
          <w:lang w:val="pl-PL"/>
        </w:rPr>
        <w:t xml:space="preserve"> Zarys harmonogramu wdrożenia wskaźników mierzących wyniki leczenia</w:t>
      </w:r>
      <w:bookmarkEnd w:id="126"/>
    </w:p>
    <w:p w14:paraId="64D6A99E" w14:textId="3FDCAAEE" w:rsidR="00235578" w:rsidRDefault="000C3EA2" w:rsidP="00CF137A">
      <w:pPr>
        <w:rPr>
          <w:color w:val="FF0000"/>
          <w:lang w:val="pl-PL"/>
        </w:rPr>
      </w:pPr>
      <w:r>
        <w:rPr>
          <w:noProof/>
          <w:color w:val="FF0000"/>
          <w:lang w:val="pl-PL" w:eastAsia="pl-PL"/>
        </w:rPr>
        <w:drawing>
          <wp:inline distT="0" distB="0" distL="0" distR="0" wp14:anchorId="56CAB89D" wp14:editId="0F963AFD">
            <wp:extent cx="5680800" cy="1994400"/>
            <wp:effectExtent l="0" t="0" r="0" b="635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80800" cy="1994400"/>
                    </a:xfrm>
                    <a:prstGeom prst="rect">
                      <a:avLst/>
                    </a:prstGeom>
                    <a:noFill/>
                  </pic:spPr>
                </pic:pic>
              </a:graphicData>
            </a:graphic>
          </wp:inline>
        </w:drawing>
      </w:r>
    </w:p>
    <w:p w14:paraId="1161BD2D" w14:textId="6DA322D7" w:rsidR="000C3EA2" w:rsidRPr="00060165" w:rsidRDefault="000C3EA2" w:rsidP="00CF137A">
      <w:pPr>
        <w:rPr>
          <w:color w:val="000000" w:themeColor="text1"/>
          <w:sz w:val="18"/>
          <w:szCs w:val="18"/>
          <w:lang w:val="pl-PL"/>
        </w:rPr>
      </w:pPr>
      <w:r w:rsidRPr="00060165">
        <w:rPr>
          <w:color w:val="000000" w:themeColor="text1"/>
          <w:sz w:val="18"/>
          <w:szCs w:val="18"/>
          <w:lang w:val="pl-PL"/>
        </w:rPr>
        <w:t>Opracowanie własne EY</w:t>
      </w:r>
    </w:p>
    <w:p w14:paraId="2462A851" w14:textId="7EB44E53" w:rsidR="00194776" w:rsidRPr="0089562A" w:rsidRDefault="00053D84" w:rsidP="00CF137A">
      <w:pPr>
        <w:rPr>
          <w:lang w:val="pl-PL"/>
        </w:rPr>
      </w:pPr>
      <w:r w:rsidRPr="004E62AC">
        <w:rPr>
          <w:lang w:val="pl-PL"/>
        </w:rPr>
        <w:t>W poniższej tabeli</w:t>
      </w:r>
      <w:r w:rsidR="00D80C4F">
        <w:rPr>
          <w:lang w:val="pl-PL"/>
        </w:rPr>
        <w:t xml:space="preserve"> przedstawiono propozycję</w:t>
      </w:r>
      <w:r w:rsidRPr="004E62AC">
        <w:rPr>
          <w:lang w:val="pl-PL"/>
        </w:rPr>
        <w:t xml:space="preserve"> docelow</w:t>
      </w:r>
      <w:r w:rsidR="00D80C4F">
        <w:rPr>
          <w:lang w:val="pl-PL"/>
        </w:rPr>
        <w:t>ych</w:t>
      </w:r>
      <w:r w:rsidRPr="004E62AC">
        <w:rPr>
          <w:lang w:val="pl-PL"/>
        </w:rPr>
        <w:t xml:space="preserve"> poziom</w:t>
      </w:r>
      <w:r w:rsidR="00D80C4F">
        <w:rPr>
          <w:lang w:val="pl-PL"/>
        </w:rPr>
        <w:t>ów</w:t>
      </w:r>
      <w:r w:rsidRPr="004E62AC">
        <w:rPr>
          <w:lang w:val="pl-PL"/>
        </w:rPr>
        <w:t xml:space="preserve"> poszczególnych wskaźników</w:t>
      </w:r>
      <w:r w:rsidR="001E73D1">
        <w:rPr>
          <w:lang w:val="pl-PL"/>
        </w:rPr>
        <w:t xml:space="preserve"> dla </w:t>
      </w:r>
      <w:r w:rsidRPr="004E62AC">
        <w:rPr>
          <w:lang w:val="pl-PL"/>
        </w:rPr>
        <w:t>jednostk</w:t>
      </w:r>
      <w:r w:rsidR="001E73D1">
        <w:rPr>
          <w:lang w:val="pl-PL"/>
        </w:rPr>
        <w:t>i</w:t>
      </w:r>
      <w:r w:rsidRPr="004E62AC">
        <w:rPr>
          <w:lang w:val="pl-PL"/>
        </w:rPr>
        <w:t xml:space="preserve"> koordynując</w:t>
      </w:r>
      <w:r w:rsidR="001E73D1">
        <w:rPr>
          <w:lang w:val="pl-PL"/>
        </w:rPr>
        <w:t>ej</w:t>
      </w:r>
      <w:r w:rsidRPr="004E62AC">
        <w:rPr>
          <w:lang w:val="pl-PL"/>
        </w:rPr>
        <w:t>.</w:t>
      </w:r>
      <w:r w:rsidR="00D80C4F">
        <w:rPr>
          <w:lang w:val="pl-PL"/>
        </w:rPr>
        <w:t xml:space="preserve"> Wskaźniki zostały wypracowan</w:t>
      </w:r>
      <w:r w:rsidR="00BA3ED8">
        <w:rPr>
          <w:lang w:val="pl-PL"/>
        </w:rPr>
        <w:t xml:space="preserve">e z przedstawicielami </w:t>
      </w:r>
      <w:r w:rsidR="00301547">
        <w:rPr>
          <w:lang w:val="pl-PL"/>
        </w:rPr>
        <w:t xml:space="preserve">środowiska </w:t>
      </w:r>
      <w:r w:rsidR="00BA3ED8">
        <w:rPr>
          <w:lang w:val="pl-PL"/>
        </w:rPr>
        <w:t>ekspertów branżowych</w:t>
      </w:r>
      <w:r w:rsidR="001F59BB">
        <w:rPr>
          <w:lang w:val="pl-PL"/>
        </w:rPr>
        <w:t>. N</w:t>
      </w:r>
      <w:r w:rsidR="00BA3ED8">
        <w:rPr>
          <w:lang w:val="pl-PL"/>
        </w:rPr>
        <w:t xml:space="preserve">awiązują </w:t>
      </w:r>
      <w:r w:rsidR="001F59BB">
        <w:rPr>
          <w:lang w:val="pl-PL"/>
        </w:rPr>
        <w:t xml:space="preserve">one </w:t>
      </w:r>
      <w:r w:rsidR="00BA3ED8">
        <w:rPr>
          <w:lang w:val="pl-PL"/>
        </w:rPr>
        <w:t xml:space="preserve">do kryteriów zalecanych </w:t>
      </w:r>
      <w:r w:rsidR="00BA3ED8" w:rsidRPr="00BA3ED8">
        <w:rPr>
          <w:lang w:val="pl-PL"/>
        </w:rPr>
        <w:t>pr</w:t>
      </w:r>
      <w:r w:rsidR="00BA3ED8">
        <w:rPr>
          <w:lang w:val="pl-PL"/>
        </w:rPr>
        <w:t xml:space="preserve">zez polskie oraz międzynarodowe </w:t>
      </w:r>
      <w:r w:rsidR="00BA3ED8" w:rsidRPr="00BA3ED8">
        <w:rPr>
          <w:lang w:val="pl-PL"/>
        </w:rPr>
        <w:t xml:space="preserve">autorytety </w:t>
      </w:r>
      <w:r w:rsidR="00BA3ED8" w:rsidRPr="00BA3ED8">
        <w:rPr>
          <w:lang w:val="pl-PL"/>
        </w:rPr>
        <w:lastRenderedPageBreak/>
        <w:t>naukowe</w:t>
      </w:r>
      <w:r w:rsidR="00053ED6">
        <w:rPr>
          <w:lang w:val="pl-PL"/>
        </w:rPr>
        <w:t xml:space="preserve">, </w:t>
      </w:r>
      <w:r w:rsidR="00053ED6" w:rsidRPr="004E62AC">
        <w:rPr>
          <w:color w:val="000000" w:themeColor="text1"/>
          <w:lang w:val="pl-PL"/>
        </w:rPr>
        <w:t>a także zostały zweryfikowane z wynikami leczenia osiąganymi przez wybrane podmioty lecznicze.</w:t>
      </w:r>
      <w:r w:rsidR="00B94B2D" w:rsidRPr="004E62AC">
        <w:rPr>
          <w:color w:val="000000" w:themeColor="text1"/>
          <w:lang w:val="pl-PL"/>
        </w:rPr>
        <w:t xml:space="preserve"> </w:t>
      </w:r>
      <w:r w:rsidR="00871A02">
        <w:rPr>
          <w:color w:val="000000" w:themeColor="text1"/>
          <w:lang w:val="pl-PL"/>
        </w:rPr>
        <w:t>Proponowane poziom</w:t>
      </w:r>
      <w:r w:rsidR="007301EA">
        <w:rPr>
          <w:color w:val="000000" w:themeColor="text1"/>
          <w:lang w:val="pl-PL"/>
        </w:rPr>
        <w:t>y</w:t>
      </w:r>
      <w:r w:rsidR="00871A02">
        <w:rPr>
          <w:color w:val="000000" w:themeColor="text1"/>
          <w:lang w:val="pl-PL"/>
        </w:rPr>
        <w:t xml:space="preserve"> powinny zostać przetestowane i zweryfikowane w programie pilotażowym.</w:t>
      </w:r>
    </w:p>
    <w:p w14:paraId="77DFE57E" w14:textId="11EB9CE0" w:rsidR="00C310EB" w:rsidRPr="004E62AC" w:rsidRDefault="00C310EB" w:rsidP="004E62AC">
      <w:pPr>
        <w:pStyle w:val="Legenda"/>
        <w:keepNext/>
        <w:rPr>
          <w:b/>
          <w:lang w:val="pl-PL"/>
        </w:rPr>
      </w:pPr>
      <w:bookmarkStart w:id="127" w:name="_Toc486537983"/>
      <w:r w:rsidRPr="003660F8">
        <w:rPr>
          <w:b/>
          <w:i w:val="0"/>
          <w:color w:val="auto"/>
          <w:lang w:val="pl-PL"/>
        </w:rPr>
        <w:t xml:space="preserve">Tabela </w:t>
      </w:r>
      <w:r w:rsidRPr="003660F8">
        <w:rPr>
          <w:b/>
          <w:i w:val="0"/>
          <w:color w:val="auto"/>
          <w:lang w:val="pl-PL"/>
        </w:rPr>
        <w:fldChar w:fldCharType="begin"/>
      </w:r>
      <w:r w:rsidRPr="003660F8">
        <w:rPr>
          <w:b/>
          <w:i w:val="0"/>
          <w:color w:val="auto"/>
          <w:lang w:val="pl-PL"/>
        </w:rPr>
        <w:instrText xml:space="preserve"> SEQ Tabela \* ARABIC </w:instrText>
      </w:r>
      <w:r w:rsidRPr="003660F8">
        <w:rPr>
          <w:b/>
          <w:i w:val="0"/>
          <w:color w:val="auto"/>
          <w:lang w:val="pl-PL"/>
        </w:rPr>
        <w:fldChar w:fldCharType="separate"/>
      </w:r>
      <w:r w:rsidR="005C7285">
        <w:rPr>
          <w:b/>
          <w:i w:val="0"/>
          <w:noProof/>
          <w:color w:val="auto"/>
          <w:lang w:val="pl-PL"/>
        </w:rPr>
        <w:t>20</w:t>
      </w:r>
      <w:r w:rsidRPr="003660F8">
        <w:rPr>
          <w:b/>
          <w:i w:val="0"/>
          <w:color w:val="auto"/>
          <w:lang w:val="pl-PL"/>
        </w:rPr>
        <w:fldChar w:fldCharType="end"/>
      </w:r>
      <w:r w:rsidRPr="003660F8">
        <w:rPr>
          <w:b/>
          <w:i w:val="0"/>
          <w:color w:val="auto"/>
          <w:lang w:val="pl-PL"/>
        </w:rPr>
        <w:t xml:space="preserve"> Propozycja oczekiwanych wartości dla poszczególnych wskaźników w zdefiniowanych odsetkach populacji</w:t>
      </w:r>
      <w:bookmarkEnd w:id="127"/>
    </w:p>
    <w:tbl>
      <w:tblPr>
        <w:tblStyle w:val="Tabela-Siatka"/>
        <w:tblW w:w="8931"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6"/>
        <w:gridCol w:w="4395"/>
      </w:tblGrid>
      <w:tr w:rsidR="00D57AF3" w:rsidRPr="007A3BC8" w14:paraId="2CFF16B1" w14:textId="77777777" w:rsidTr="0006632D">
        <w:tc>
          <w:tcPr>
            <w:tcW w:w="4536" w:type="dxa"/>
            <w:tcBorders>
              <w:top w:val="nil"/>
              <w:left w:val="single" w:sz="4" w:space="0" w:color="FFFFFF" w:themeColor="background1"/>
              <w:bottom w:val="single" w:sz="4" w:space="0" w:color="808080"/>
            </w:tcBorders>
            <w:shd w:val="clear" w:color="auto" w:fill="808080" w:themeFill="background1" w:themeFillShade="80"/>
            <w:vAlign w:val="center"/>
          </w:tcPr>
          <w:p w14:paraId="63740A35" w14:textId="77777777" w:rsidR="00D57AF3" w:rsidRPr="007A3BC8" w:rsidRDefault="00D57AF3" w:rsidP="00BC4357">
            <w:pPr>
              <w:spacing w:before="60" w:after="60" w:line="240" w:lineRule="auto"/>
              <w:jc w:val="left"/>
              <w:rPr>
                <w:rFonts w:eastAsia="Calibri"/>
                <w:b/>
                <w:color w:val="FFFFFF" w:themeColor="background1"/>
                <w:sz w:val="18"/>
                <w:szCs w:val="18"/>
                <w:lang w:val="pl-PL"/>
              </w:rPr>
            </w:pPr>
            <w:r w:rsidRPr="007A3BC8">
              <w:rPr>
                <w:rFonts w:eastAsia="Calibri"/>
                <w:b/>
                <w:color w:val="FFFFFF" w:themeColor="background1"/>
                <w:sz w:val="18"/>
                <w:szCs w:val="18"/>
                <w:lang w:val="pl-PL"/>
              </w:rPr>
              <w:t>Wskaźniki</w:t>
            </w:r>
          </w:p>
        </w:tc>
        <w:tc>
          <w:tcPr>
            <w:tcW w:w="4395" w:type="dxa"/>
            <w:tcBorders>
              <w:top w:val="nil"/>
              <w:bottom w:val="single" w:sz="4" w:space="0" w:color="808080"/>
              <w:right w:val="single" w:sz="4" w:space="0" w:color="FFFFFF" w:themeColor="background1"/>
            </w:tcBorders>
            <w:shd w:val="clear" w:color="auto" w:fill="808080" w:themeFill="background1" w:themeFillShade="80"/>
            <w:vAlign w:val="center"/>
          </w:tcPr>
          <w:p w14:paraId="42575FB2" w14:textId="56B26E57" w:rsidR="00D57AF3" w:rsidRPr="00060165" w:rsidRDefault="00D57AF3" w:rsidP="00060165">
            <w:pPr>
              <w:spacing w:before="60" w:after="60" w:line="240" w:lineRule="auto"/>
              <w:jc w:val="center"/>
              <w:rPr>
                <w:sz w:val="18"/>
                <w:szCs w:val="18"/>
                <w:lang w:val="pl-PL"/>
              </w:rPr>
            </w:pPr>
            <w:r w:rsidRPr="007A3BC8">
              <w:rPr>
                <w:rFonts w:eastAsia="Calibri"/>
                <w:b/>
                <w:color w:val="FFFFFF" w:themeColor="background1"/>
                <w:sz w:val="18"/>
                <w:szCs w:val="18"/>
                <w:lang w:val="pl-PL"/>
              </w:rPr>
              <w:t>Oczekiwany poziom wskaźnika</w:t>
            </w:r>
          </w:p>
        </w:tc>
      </w:tr>
      <w:tr w:rsidR="00194776" w:rsidRPr="00C57815" w14:paraId="60BF0CEA" w14:textId="77777777" w:rsidTr="00FB74AE">
        <w:tc>
          <w:tcPr>
            <w:tcW w:w="8931" w:type="dxa"/>
            <w:gridSpan w:val="2"/>
            <w:tcBorders>
              <w:top w:val="single" w:sz="4" w:space="0" w:color="808080"/>
              <w:left w:val="single" w:sz="4" w:space="0" w:color="FFFFFF" w:themeColor="background1"/>
              <w:bottom w:val="single" w:sz="4" w:space="0" w:color="808080"/>
              <w:right w:val="single" w:sz="4" w:space="0" w:color="FFFFFF" w:themeColor="background1"/>
            </w:tcBorders>
            <w:shd w:val="clear" w:color="auto" w:fill="FFE600"/>
            <w:vAlign w:val="center"/>
          </w:tcPr>
          <w:p w14:paraId="511654C6" w14:textId="77777777" w:rsidR="00194776" w:rsidRPr="007A3BC8" w:rsidRDefault="00B5662A" w:rsidP="00B5662A">
            <w:pPr>
              <w:spacing w:before="60" w:after="60" w:line="240" w:lineRule="auto"/>
              <w:jc w:val="left"/>
              <w:rPr>
                <w:b/>
                <w:sz w:val="18"/>
                <w:szCs w:val="18"/>
                <w:lang w:val="pl-PL"/>
              </w:rPr>
            </w:pPr>
            <w:r w:rsidRPr="007A3BC8">
              <w:rPr>
                <w:rFonts w:eastAsia="Calibri"/>
                <w:b/>
                <w:sz w:val="18"/>
                <w:szCs w:val="18"/>
                <w:lang w:val="pl-PL"/>
              </w:rPr>
              <w:t>Wskaźniki dla populacji pacjentów dializowanych</w:t>
            </w:r>
          </w:p>
        </w:tc>
      </w:tr>
      <w:tr w:rsidR="00194776" w:rsidRPr="007A3BC8" w14:paraId="109208F6" w14:textId="77777777" w:rsidTr="00C328CA">
        <w:trPr>
          <w:trHeight w:val="36"/>
        </w:trPr>
        <w:tc>
          <w:tcPr>
            <w:tcW w:w="8931" w:type="dxa"/>
            <w:gridSpan w:val="2"/>
            <w:tcBorders>
              <w:top w:val="single" w:sz="4" w:space="0" w:color="808080"/>
              <w:left w:val="single" w:sz="4" w:space="0" w:color="FFFFFF" w:themeColor="background1"/>
              <w:bottom w:val="single" w:sz="4" w:space="0" w:color="808080"/>
              <w:right w:val="single" w:sz="4" w:space="0" w:color="FFFFFF" w:themeColor="background1"/>
            </w:tcBorders>
            <w:shd w:val="clear" w:color="auto" w:fill="F2F2F2" w:themeFill="background1" w:themeFillShade="F2"/>
            <w:vAlign w:val="center"/>
          </w:tcPr>
          <w:p w14:paraId="1C5F56CF" w14:textId="77777777" w:rsidR="00194776" w:rsidRPr="00452B87" w:rsidRDefault="00B5662A" w:rsidP="00B5662A">
            <w:pPr>
              <w:pStyle w:val="EYBulletedList1"/>
              <w:numPr>
                <w:ilvl w:val="0"/>
                <w:numId w:val="0"/>
              </w:numPr>
              <w:spacing w:beforeLines="20" w:before="48" w:afterLines="25" w:after="60"/>
              <w:rPr>
                <w:b/>
                <w:sz w:val="18"/>
                <w:szCs w:val="18"/>
                <w:lang w:val="pl-PL"/>
              </w:rPr>
            </w:pPr>
            <w:r w:rsidRPr="00452B87">
              <w:rPr>
                <w:b/>
                <w:sz w:val="18"/>
                <w:szCs w:val="18"/>
                <w:lang w:val="pl-PL"/>
              </w:rPr>
              <w:t>Wyniki leczenia</w:t>
            </w:r>
          </w:p>
        </w:tc>
      </w:tr>
      <w:tr w:rsidR="00021A86" w:rsidRPr="00C57815" w14:paraId="172B92F9" w14:textId="77777777" w:rsidTr="00021A86">
        <w:trPr>
          <w:trHeight w:val="2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4D6E7CF7" w14:textId="2ACF90B5" w:rsidR="00021A86" w:rsidRPr="007A3BC8" w:rsidRDefault="00021A86" w:rsidP="00021A86">
            <w:pPr>
              <w:pStyle w:val="EYBulletedList1"/>
              <w:numPr>
                <w:ilvl w:val="0"/>
                <w:numId w:val="0"/>
              </w:numPr>
              <w:spacing w:beforeLines="20" w:before="48" w:afterLines="20" w:after="48"/>
              <w:rPr>
                <w:sz w:val="18"/>
                <w:szCs w:val="18"/>
                <w:lang w:val="pl-PL"/>
              </w:rPr>
            </w:pPr>
            <w:r w:rsidRPr="00835025">
              <w:rPr>
                <w:sz w:val="18"/>
                <w:szCs w:val="18"/>
                <w:lang w:val="pl-PL"/>
              </w:rPr>
              <w:t>L</w:t>
            </w:r>
            <w:r w:rsidRPr="005B66E7">
              <w:rPr>
                <w:sz w:val="18"/>
                <w:szCs w:val="18"/>
                <w:lang w:val="pl-PL"/>
              </w:rPr>
              <w:t>iczba hospitali</w:t>
            </w:r>
            <w:r>
              <w:rPr>
                <w:sz w:val="18"/>
                <w:szCs w:val="18"/>
                <w:lang w:val="pl-PL"/>
              </w:rPr>
              <w:t>zacji/pacjenta/rok</w:t>
            </w:r>
          </w:p>
        </w:tc>
        <w:tc>
          <w:tcPr>
            <w:tcW w:w="4395" w:type="dxa"/>
            <w:tcBorders>
              <w:top w:val="single" w:sz="4" w:space="0" w:color="808080"/>
              <w:left w:val="single" w:sz="4" w:space="0" w:color="808080"/>
              <w:right w:val="single" w:sz="4" w:space="0" w:color="FFFFFF" w:themeColor="background1"/>
            </w:tcBorders>
            <w:shd w:val="clear" w:color="auto" w:fill="auto"/>
          </w:tcPr>
          <w:p w14:paraId="4311A674" w14:textId="77EF4073" w:rsidR="00021A86" w:rsidRPr="007A3BC8" w:rsidRDefault="00021A86" w:rsidP="00021A86">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021A86" w:rsidRPr="00C57815" w14:paraId="6B21B17C" w14:textId="77777777" w:rsidTr="00645A46">
        <w:trPr>
          <w:trHeight w:val="2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27D426EE" w14:textId="64E7C56C" w:rsidR="00021A86" w:rsidRPr="00835025" w:rsidRDefault="00021A86" w:rsidP="00021A86">
            <w:pPr>
              <w:pStyle w:val="EYBulletedList1"/>
              <w:numPr>
                <w:ilvl w:val="0"/>
                <w:numId w:val="0"/>
              </w:numPr>
              <w:spacing w:beforeLines="20" w:before="48" w:afterLines="20" w:after="48"/>
              <w:rPr>
                <w:sz w:val="18"/>
                <w:szCs w:val="18"/>
                <w:lang w:val="pl-PL"/>
              </w:rPr>
            </w:pPr>
            <w:r w:rsidRPr="00783261">
              <w:rPr>
                <w:sz w:val="18"/>
                <w:szCs w:val="18"/>
                <w:lang w:val="pl-PL"/>
              </w:rPr>
              <w:t>D</w:t>
            </w:r>
            <w:r w:rsidRPr="00835025">
              <w:rPr>
                <w:sz w:val="18"/>
                <w:szCs w:val="18"/>
                <w:lang w:val="pl-PL"/>
              </w:rPr>
              <w:t>ługość hospitalizacji/pacjen</w:t>
            </w:r>
            <w:r>
              <w:rPr>
                <w:sz w:val="18"/>
                <w:szCs w:val="18"/>
                <w:lang w:val="pl-PL"/>
              </w:rPr>
              <w:t>ta/rok</w:t>
            </w:r>
          </w:p>
        </w:tc>
        <w:tc>
          <w:tcPr>
            <w:tcW w:w="4395" w:type="dxa"/>
            <w:tcBorders>
              <w:left w:val="single" w:sz="4" w:space="0" w:color="808080"/>
              <w:right w:val="single" w:sz="4" w:space="0" w:color="FFFFFF" w:themeColor="background1"/>
            </w:tcBorders>
            <w:shd w:val="clear" w:color="auto" w:fill="auto"/>
          </w:tcPr>
          <w:p w14:paraId="10E638E7" w14:textId="5CC1AABF" w:rsidR="00021A86" w:rsidRPr="007A3BC8" w:rsidRDefault="00021A86" w:rsidP="00021A86">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021A86" w:rsidRPr="00C57815" w14:paraId="78A30836" w14:textId="77777777" w:rsidTr="00645A46">
        <w:trPr>
          <w:trHeight w:val="2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06A2CB66" w14:textId="7318C645" w:rsidR="00021A86" w:rsidRPr="00835025" w:rsidRDefault="00021A86" w:rsidP="00021A86">
            <w:pPr>
              <w:pStyle w:val="EYBulletedList1"/>
              <w:numPr>
                <w:ilvl w:val="0"/>
                <w:numId w:val="0"/>
              </w:numPr>
              <w:spacing w:beforeLines="20" w:before="48" w:afterLines="20" w:after="48"/>
              <w:rPr>
                <w:sz w:val="18"/>
                <w:szCs w:val="18"/>
                <w:lang w:val="pl-PL"/>
              </w:rPr>
            </w:pPr>
            <w:r w:rsidRPr="00835025">
              <w:rPr>
                <w:sz w:val="18"/>
                <w:szCs w:val="18"/>
                <w:lang w:val="pl-PL"/>
              </w:rPr>
              <w:t>L</w:t>
            </w:r>
            <w:r w:rsidRPr="005B66E7">
              <w:rPr>
                <w:sz w:val="18"/>
                <w:szCs w:val="18"/>
                <w:lang w:val="pl-PL"/>
              </w:rPr>
              <w:t>iczba hospitali</w:t>
            </w:r>
            <w:r>
              <w:rPr>
                <w:sz w:val="18"/>
                <w:szCs w:val="18"/>
                <w:lang w:val="pl-PL"/>
              </w:rPr>
              <w:t>zacji/pacjenta/rok</w:t>
            </w:r>
            <w:r w:rsidRPr="005B66E7">
              <w:rPr>
                <w:sz w:val="18"/>
                <w:szCs w:val="18"/>
                <w:lang w:val="pl-PL"/>
              </w:rPr>
              <w:t xml:space="preserve"> z powodu powik</w:t>
            </w:r>
            <w:r w:rsidRPr="00783261">
              <w:rPr>
                <w:sz w:val="18"/>
                <w:szCs w:val="18"/>
                <w:lang w:val="pl-PL"/>
              </w:rPr>
              <w:t>ł</w:t>
            </w:r>
            <w:r w:rsidRPr="005B66E7">
              <w:rPr>
                <w:sz w:val="18"/>
                <w:szCs w:val="18"/>
                <w:lang w:val="pl-PL"/>
              </w:rPr>
              <w:t>a</w:t>
            </w:r>
            <w:r w:rsidRPr="00783261">
              <w:rPr>
                <w:sz w:val="18"/>
                <w:szCs w:val="18"/>
                <w:lang w:val="pl-PL"/>
              </w:rPr>
              <w:t>ń</w:t>
            </w:r>
            <w:r w:rsidRPr="005B66E7">
              <w:rPr>
                <w:sz w:val="18"/>
                <w:szCs w:val="18"/>
                <w:lang w:val="pl-PL"/>
              </w:rPr>
              <w:t xml:space="preserve"> dost</w:t>
            </w:r>
            <w:r w:rsidRPr="00783261">
              <w:rPr>
                <w:sz w:val="18"/>
                <w:szCs w:val="18"/>
                <w:lang w:val="pl-PL"/>
              </w:rPr>
              <w:t>ę</w:t>
            </w:r>
            <w:r w:rsidRPr="005B66E7">
              <w:rPr>
                <w:sz w:val="18"/>
                <w:szCs w:val="18"/>
                <w:lang w:val="pl-PL"/>
              </w:rPr>
              <w:t>p</w:t>
            </w:r>
            <w:r w:rsidRPr="00783261">
              <w:rPr>
                <w:sz w:val="18"/>
                <w:szCs w:val="18"/>
                <w:lang w:val="pl-PL"/>
              </w:rPr>
              <w:t>ó</w:t>
            </w:r>
            <w:r w:rsidRPr="005B66E7">
              <w:rPr>
                <w:sz w:val="18"/>
                <w:szCs w:val="18"/>
                <w:lang w:val="pl-PL"/>
              </w:rPr>
              <w:t>w</w:t>
            </w:r>
          </w:p>
        </w:tc>
        <w:tc>
          <w:tcPr>
            <w:tcW w:w="4395" w:type="dxa"/>
            <w:tcBorders>
              <w:left w:val="single" w:sz="4" w:space="0" w:color="808080"/>
              <w:right w:val="single" w:sz="4" w:space="0" w:color="FFFFFF" w:themeColor="background1"/>
            </w:tcBorders>
            <w:shd w:val="clear" w:color="auto" w:fill="auto"/>
          </w:tcPr>
          <w:p w14:paraId="2E61CA84" w14:textId="187B42CD" w:rsidR="00021A86" w:rsidRPr="007A3BC8" w:rsidRDefault="00021A86" w:rsidP="00021A86">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3B1337" w:rsidRPr="00C57815" w14:paraId="26D5B6DD" w14:textId="77777777" w:rsidTr="00B8329A">
        <w:trPr>
          <w:trHeight w:val="3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30E67C21" w14:textId="044E3A26" w:rsidR="003B1337" w:rsidRPr="00452B87" w:rsidDel="0006632D" w:rsidRDefault="003B1337">
            <w:pPr>
              <w:pStyle w:val="EYBulletedList1"/>
              <w:numPr>
                <w:ilvl w:val="0"/>
                <w:numId w:val="0"/>
              </w:numPr>
              <w:spacing w:beforeLines="20" w:before="48" w:afterLines="20" w:after="48"/>
              <w:rPr>
                <w:sz w:val="18"/>
                <w:szCs w:val="18"/>
                <w:lang w:val="pl-PL"/>
              </w:rPr>
            </w:pPr>
            <w:r w:rsidRPr="00783261">
              <w:rPr>
                <w:sz w:val="18"/>
                <w:szCs w:val="18"/>
                <w:lang w:val="pl-PL"/>
              </w:rPr>
              <w:t>D</w:t>
            </w:r>
            <w:r w:rsidRPr="00835025">
              <w:rPr>
                <w:sz w:val="18"/>
                <w:szCs w:val="18"/>
                <w:lang w:val="pl-PL"/>
              </w:rPr>
              <w:t>ługość hospitalizacji/pacjenta/rok z powodu powikłań dostępów</w:t>
            </w:r>
          </w:p>
        </w:tc>
        <w:tc>
          <w:tcPr>
            <w:tcW w:w="4395" w:type="dxa"/>
            <w:tcBorders>
              <w:left w:val="single" w:sz="4" w:space="0" w:color="808080"/>
              <w:right w:val="single" w:sz="4" w:space="0" w:color="FFFFFF" w:themeColor="background1"/>
            </w:tcBorders>
            <w:shd w:val="clear" w:color="auto" w:fill="auto"/>
          </w:tcPr>
          <w:p w14:paraId="1534D4D5" w14:textId="53B7AAD5" w:rsidR="003B1337" w:rsidRPr="007A3BC8" w:rsidDel="0006632D" w:rsidRDefault="003B1337" w:rsidP="009B7C91">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3B1337" w:rsidRPr="00C57815" w14:paraId="5C289C32" w14:textId="77777777" w:rsidTr="0006632D">
        <w:trPr>
          <w:trHeight w:val="3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2ABCABCD" w14:textId="0A6BF24B" w:rsidR="003B1337" w:rsidRPr="00783261" w:rsidRDefault="003B1337" w:rsidP="003B1337">
            <w:pPr>
              <w:pStyle w:val="EYBulletedList1"/>
              <w:numPr>
                <w:ilvl w:val="0"/>
                <w:numId w:val="0"/>
              </w:numPr>
              <w:spacing w:beforeLines="20" w:before="48" w:afterLines="20" w:after="48"/>
              <w:rPr>
                <w:sz w:val="18"/>
                <w:szCs w:val="18"/>
                <w:lang w:val="pl-PL"/>
              </w:rPr>
            </w:pPr>
            <w:r w:rsidRPr="003B1337">
              <w:rPr>
                <w:sz w:val="18"/>
                <w:szCs w:val="18"/>
                <w:lang w:val="pl-PL"/>
              </w:rPr>
              <w:t>Liczba chorych, którzy zakończyli dializoterapię</w:t>
            </w:r>
          </w:p>
        </w:tc>
        <w:tc>
          <w:tcPr>
            <w:tcW w:w="4395" w:type="dxa"/>
            <w:tcBorders>
              <w:left w:val="single" w:sz="4" w:space="0" w:color="808080"/>
              <w:bottom w:val="single" w:sz="4" w:space="0" w:color="808080" w:themeColor="background1" w:themeShade="80"/>
              <w:right w:val="single" w:sz="4" w:space="0" w:color="FFFFFF" w:themeColor="background1"/>
            </w:tcBorders>
            <w:shd w:val="clear" w:color="auto" w:fill="auto"/>
          </w:tcPr>
          <w:p w14:paraId="23179E82" w14:textId="49EE9CB2" w:rsidR="003B1337" w:rsidRPr="007A3BC8" w:rsidRDefault="003B1337" w:rsidP="003B1337">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3B1337" w:rsidRPr="007A3BC8" w14:paraId="6FABC5C3" w14:textId="77777777" w:rsidTr="0006632D">
        <w:trPr>
          <w:trHeight w:val="60"/>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7DB22455" w14:textId="77777777" w:rsidR="003B1337" w:rsidRPr="00452B87"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Skorygowana śmiertelność</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tcPr>
          <w:p w14:paraId="57799DE9" w14:textId="66F53599" w:rsidR="003B1337" w:rsidRPr="007A3BC8" w:rsidRDefault="003B1337" w:rsidP="003B1337">
            <w:pPr>
              <w:pStyle w:val="EYBulletedList1"/>
              <w:numPr>
                <w:ilvl w:val="0"/>
                <w:numId w:val="0"/>
              </w:numPr>
              <w:spacing w:beforeLines="20" w:before="48" w:afterLines="20" w:after="48"/>
              <w:jc w:val="center"/>
              <w:rPr>
                <w:b/>
                <w:sz w:val="18"/>
                <w:szCs w:val="18"/>
                <w:lang w:val="pl-PL"/>
              </w:rPr>
            </w:pPr>
            <w:r w:rsidRPr="007A3BC8">
              <w:rPr>
                <w:sz w:val="18"/>
                <w:szCs w:val="18"/>
                <w:lang w:val="pl-PL"/>
              </w:rPr>
              <w:t>&lt;20%</w:t>
            </w:r>
          </w:p>
        </w:tc>
      </w:tr>
      <w:tr w:rsidR="003B1337" w:rsidRPr="007A3BC8" w14:paraId="3C53B7D1" w14:textId="77777777" w:rsidTr="0006632D">
        <w:trPr>
          <w:trHeight w:val="60"/>
        </w:trPr>
        <w:tc>
          <w:tcPr>
            <w:tcW w:w="4536" w:type="dxa"/>
            <w:tcBorders>
              <w:top w:val="single" w:sz="4" w:space="0" w:color="808080" w:themeColor="background1" w:themeShade="80"/>
              <w:left w:val="single" w:sz="4" w:space="0" w:color="FFFFFF" w:themeColor="background1"/>
              <w:bottom w:val="single" w:sz="4" w:space="0" w:color="808080"/>
              <w:right w:val="single" w:sz="4" w:space="0" w:color="808080"/>
            </w:tcBorders>
            <w:shd w:val="clear" w:color="auto" w:fill="auto"/>
            <w:vAlign w:val="center"/>
          </w:tcPr>
          <w:p w14:paraId="2BCECD0A" w14:textId="30DDA271" w:rsidR="003B1337" w:rsidRPr="00BE14BA"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Jakość życia pacjentów dializowanych uwarunkowana</w:t>
            </w:r>
            <w:r w:rsidRPr="00BE14BA">
              <w:rPr>
                <w:sz w:val="18"/>
                <w:szCs w:val="18"/>
                <w:lang w:val="pl-PL"/>
              </w:rPr>
              <w:t xml:space="preserve"> stanem zdrowia</w:t>
            </w:r>
          </w:p>
        </w:tc>
        <w:tc>
          <w:tcPr>
            <w:tcW w:w="4395" w:type="dxa"/>
            <w:tcBorders>
              <w:top w:val="single" w:sz="4" w:space="0" w:color="808080" w:themeColor="background1" w:themeShade="80"/>
              <w:left w:val="single" w:sz="4" w:space="0" w:color="808080"/>
              <w:bottom w:val="single" w:sz="4" w:space="0" w:color="808080"/>
              <w:right w:val="single" w:sz="4" w:space="0" w:color="FFFFFF" w:themeColor="background1"/>
            </w:tcBorders>
            <w:shd w:val="clear" w:color="auto" w:fill="auto"/>
          </w:tcPr>
          <w:p w14:paraId="3B72740C" w14:textId="77777777" w:rsidR="003B1337" w:rsidRPr="007A3BC8" w:rsidRDefault="003B1337" w:rsidP="003B1337">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p w14:paraId="1693BA03" w14:textId="41AD9434" w:rsidR="003B1337" w:rsidRPr="007A3BC8" w:rsidRDefault="003B1337" w:rsidP="003B1337">
            <w:pPr>
              <w:pStyle w:val="EYBulletedList1"/>
              <w:numPr>
                <w:ilvl w:val="0"/>
                <w:numId w:val="0"/>
              </w:numPr>
              <w:spacing w:beforeLines="20" w:before="48" w:afterLines="20" w:after="48"/>
              <w:jc w:val="center"/>
              <w:rPr>
                <w:color w:val="000000" w:themeColor="text1"/>
                <w:sz w:val="18"/>
                <w:szCs w:val="18"/>
                <w:lang w:val="pl-PL"/>
              </w:rPr>
            </w:pPr>
          </w:p>
        </w:tc>
      </w:tr>
      <w:tr w:rsidR="003B1337" w:rsidRPr="007A3BC8" w14:paraId="3D4260D1" w14:textId="77777777" w:rsidTr="00C328CA">
        <w:trPr>
          <w:trHeight w:val="60"/>
        </w:trPr>
        <w:tc>
          <w:tcPr>
            <w:tcW w:w="8931" w:type="dxa"/>
            <w:gridSpan w:val="2"/>
            <w:tcBorders>
              <w:top w:val="single" w:sz="4" w:space="0" w:color="808080"/>
              <w:left w:val="single" w:sz="4" w:space="0" w:color="FFFFFF" w:themeColor="background1"/>
              <w:bottom w:val="single" w:sz="4" w:space="0" w:color="808080"/>
              <w:right w:val="single" w:sz="4" w:space="0" w:color="FFFFFF" w:themeColor="background1"/>
            </w:tcBorders>
            <w:shd w:val="clear" w:color="auto" w:fill="F2F2F2" w:themeFill="background1" w:themeFillShade="F2"/>
            <w:vAlign w:val="center"/>
          </w:tcPr>
          <w:p w14:paraId="72BFA5A3" w14:textId="77777777" w:rsidR="003B1337" w:rsidRPr="007A3BC8" w:rsidRDefault="003B1337" w:rsidP="003B1337">
            <w:pPr>
              <w:pStyle w:val="EYBulletedList1"/>
              <w:numPr>
                <w:ilvl w:val="0"/>
                <w:numId w:val="0"/>
              </w:numPr>
              <w:spacing w:beforeLines="20" w:before="48" w:afterLines="25" w:after="60"/>
              <w:rPr>
                <w:b/>
                <w:sz w:val="18"/>
                <w:szCs w:val="18"/>
                <w:lang w:val="pl-PL"/>
              </w:rPr>
            </w:pPr>
            <w:r w:rsidRPr="007A3BC8">
              <w:rPr>
                <w:b/>
                <w:sz w:val="18"/>
                <w:szCs w:val="18"/>
                <w:lang w:val="pl-PL"/>
              </w:rPr>
              <w:t>Parametry kliniczne</w:t>
            </w:r>
          </w:p>
        </w:tc>
      </w:tr>
      <w:tr w:rsidR="003B1337" w:rsidRPr="00C57815" w14:paraId="3C472670" w14:textId="77777777" w:rsidTr="0006632D">
        <w:trPr>
          <w:trHeight w:val="323"/>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3688FC7B" w14:textId="48871733" w:rsidR="003B1337" w:rsidRPr="00BE14BA"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 xml:space="preserve">HD i DO: wskaźnik </w:t>
            </w:r>
            <w:proofErr w:type="spellStart"/>
            <w:r w:rsidRPr="00452B87">
              <w:rPr>
                <w:sz w:val="18"/>
                <w:szCs w:val="18"/>
                <w:lang w:val="pl-PL"/>
              </w:rPr>
              <w:t>współchorobowości</w:t>
            </w:r>
            <w:proofErr w:type="spellEnd"/>
            <w:r w:rsidRPr="00452B87">
              <w:rPr>
                <w:sz w:val="18"/>
                <w:szCs w:val="18"/>
                <w:lang w:val="pl-PL"/>
              </w:rPr>
              <w:t xml:space="preserve"> </w:t>
            </w:r>
            <w:proofErr w:type="spellStart"/>
            <w:r w:rsidRPr="00452B87">
              <w:rPr>
                <w:sz w:val="18"/>
                <w:szCs w:val="18"/>
                <w:lang w:val="pl-PL"/>
              </w:rPr>
              <w:t>Charlson</w:t>
            </w:r>
            <w:proofErr w:type="spellEnd"/>
            <w:r w:rsidRPr="00452B87">
              <w:rPr>
                <w:sz w:val="18"/>
                <w:szCs w:val="18"/>
                <w:lang w:val="pl-PL"/>
              </w:rPr>
              <w:t xml:space="preserve"> </w:t>
            </w:r>
            <w:r>
              <w:rPr>
                <w:sz w:val="18"/>
                <w:szCs w:val="18"/>
                <w:lang w:val="pl-PL"/>
              </w:rPr>
              <w:br/>
            </w:r>
            <w:r w:rsidRPr="00452B87">
              <w:rPr>
                <w:sz w:val="18"/>
                <w:szCs w:val="18"/>
                <w:lang w:val="pl-PL"/>
              </w:rPr>
              <w:t>z uwzględnieniem wieku (</w:t>
            </w:r>
            <w:proofErr w:type="spellStart"/>
            <w:r w:rsidRPr="00452B87">
              <w:rPr>
                <w:sz w:val="18"/>
                <w:szCs w:val="18"/>
                <w:lang w:val="pl-PL"/>
              </w:rPr>
              <w:t>AaCCIs</w:t>
            </w:r>
            <w:proofErr w:type="spellEnd"/>
            <w:r w:rsidRPr="00452B87">
              <w:rPr>
                <w:sz w:val="18"/>
                <w:szCs w:val="18"/>
                <w:lang w:val="pl-PL"/>
              </w:rPr>
              <w:t>)</w:t>
            </w:r>
          </w:p>
        </w:tc>
        <w:tc>
          <w:tcPr>
            <w:tcW w:w="4395" w:type="dxa"/>
            <w:tcBorders>
              <w:top w:val="single" w:sz="4" w:space="0" w:color="808080"/>
              <w:left w:val="single" w:sz="4" w:space="0" w:color="808080"/>
              <w:right w:val="single" w:sz="4" w:space="0" w:color="FFFFFF" w:themeColor="background1"/>
            </w:tcBorders>
            <w:shd w:val="clear" w:color="auto" w:fill="auto"/>
          </w:tcPr>
          <w:p w14:paraId="39C7AD11" w14:textId="53D2A571" w:rsidR="003B1337" w:rsidRPr="00452B87" w:rsidRDefault="003B1337" w:rsidP="003B1337">
            <w:pPr>
              <w:pStyle w:val="EYBulletedList1"/>
              <w:numPr>
                <w:ilvl w:val="0"/>
                <w:numId w:val="0"/>
              </w:numPr>
              <w:spacing w:beforeLines="20" w:before="48" w:afterLines="20" w:after="48"/>
              <w:jc w:val="center"/>
              <w:rPr>
                <w:b/>
                <w:sz w:val="18"/>
                <w:szCs w:val="18"/>
                <w:lang w:val="pl-PL"/>
              </w:rPr>
            </w:pPr>
            <w:r w:rsidRPr="007A3BC8">
              <w:rPr>
                <w:color w:val="000000" w:themeColor="text1"/>
                <w:sz w:val="18"/>
                <w:szCs w:val="18"/>
                <w:lang w:val="pl-PL"/>
              </w:rPr>
              <w:t>Do weryfikacji w trakcie pilotażu</w:t>
            </w:r>
          </w:p>
        </w:tc>
      </w:tr>
      <w:tr w:rsidR="003B1337" w:rsidRPr="007A3BC8" w14:paraId="0F5FED00" w14:textId="77777777" w:rsidTr="00A94921">
        <w:trPr>
          <w:trHeight w:val="3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385B2146" w14:textId="2A0C01EF" w:rsidR="003B1337" w:rsidRPr="00452B87"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 xml:space="preserve">HD: Dostęp naczyniowy – odsetek chorych z przetoką lub </w:t>
            </w:r>
            <w:proofErr w:type="spellStart"/>
            <w:r w:rsidRPr="00452B87">
              <w:rPr>
                <w:sz w:val="18"/>
                <w:szCs w:val="18"/>
                <w:lang w:val="pl-PL"/>
              </w:rPr>
              <w:t>graftem</w:t>
            </w:r>
            <w:proofErr w:type="spellEnd"/>
            <w:r>
              <w:rPr>
                <w:sz w:val="18"/>
                <w:szCs w:val="18"/>
                <w:lang w:val="pl-PL"/>
              </w:rPr>
              <w:t xml:space="preserve"> u chorych dializowanych przynajmniej 3 miesiące</w:t>
            </w:r>
            <w:r w:rsidRPr="00452B87">
              <w:rPr>
                <w:sz w:val="18"/>
                <w:szCs w:val="18"/>
                <w:lang w:val="pl-PL"/>
              </w:rPr>
              <w:t xml:space="preserve"> (parametr oceniany co miesiąc)</w:t>
            </w:r>
          </w:p>
        </w:tc>
        <w:tc>
          <w:tcPr>
            <w:tcW w:w="4395" w:type="dxa"/>
            <w:tcBorders>
              <w:left w:val="single" w:sz="4" w:space="0" w:color="808080"/>
              <w:right w:val="single" w:sz="4" w:space="0" w:color="FFFFFF" w:themeColor="background1"/>
            </w:tcBorders>
            <w:shd w:val="clear" w:color="auto" w:fill="auto"/>
          </w:tcPr>
          <w:p w14:paraId="1B18541F" w14:textId="1791BAC6" w:rsidR="003B1337" w:rsidRPr="007A3BC8" w:rsidRDefault="003B1337" w:rsidP="003B1337">
            <w:pPr>
              <w:pStyle w:val="EYBulletedList1"/>
              <w:numPr>
                <w:ilvl w:val="0"/>
                <w:numId w:val="0"/>
              </w:numPr>
              <w:spacing w:beforeLines="20" w:before="48" w:afterLines="20" w:after="48"/>
              <w:jc w:val="center"/>
              <w:rPr>
                <w:sz w:val="18"/>
                <w:szCs w:val="18"/>
                <w:lang w:val="pl-PL"/>
              </w:rPr>
            </w:pPr>
            <w:r w:rsidRPr="007A3BC8">
              <w:rPr>
                <w:sz w:val="18"/>
                <w:szCs w:val="18"/>
                <w:lang w:val="pl-PL"/>
              </w:rPr>
              <w:t>&gt; 70%</w:t>
            </w:r>
          </w:p>
        </w:tc>
      </w:tr>
      <w:tr w:rsidR="003B1337" w:rsidRPr="003F23F8" w14:paraId="03FF060D" w14:textId="77777777" w:rsidTr="0006632D">
        <w:trPr>
          <w:trHeight w:val="300"/>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57BFCEF4" w14:textId="2A2D907A" w:rsidR="003B1337" w:rsidRPr="00452B87" w:rsidRDefault="003B1337" w:rsidP="003B1337">
            <w:pPr>
              <w:pStyle w:val="EYBulletedList1"/>
              <w:numPr>
                <w:ilvl w:val="0"/>
                <w:numId w:val="0"/>
              </w:numPr>
              <w:spacing w:beforeLines="20" w:before="48" w:afterLines="20" w:after="48"/>
              <w:rPr>
                <w:sz w:val="18"/>
                <w:szCs w:val="18"/>
                <w:lang w:val="pl-PL"/>
              </w:rPr>
            </w:pPr>
            <w:r w:rsidRPr="001A2ED7">
              <w:rPr>
                <w:sz w:val="18"/>
                <w:szCs w:val="18"/>
                <w:lang w:val="pl-PL"/>
              </w:rPr>
              <w:t xml:space="preserve">HD: Dostęp naczyniowy – odsetek chorych </w:t>
            </w:r>
            <w:r>
              <w:rPr>
                <w:sz w:val="18"/>
                <w:szCs w:val="18"/>
                <w:lang w:val="pl-PL"/>
              </w:rPr>
              <w:br/>
            </w:r>
            <w:r w:rsidRPr="001A2ED7">
              <w:rPr>
                <w:sz w:val="18"/>
                <w:szCs w:val="18"/>
                <w:lang w:val="pl-PL"/>
              </w:rPr>
              <w:t xml:space="preserve">z cewnikiem </w:t>
            </w:r>
            <w:r>
              <w:rPr>
                <w:sz w:val="18"/>
                <w:szCs w:val="18"/>
                <w:lang w:val="pl-PL"/>
              </w:rPr>
              <w:t>czasowym (ostrym) u chorych dializowanych przynajmniej 3 miesiące</w:t>
            </w:r>
          </w:p>
        </w:tc>
        <w:tc>
          <w:tcPr>
            <w:tcW w:w="4395" w:type="dxa"/>
            <w:tcBorders>
              <w:left w:val="single" w:sz="4" w:space="0" w:color="808080"/>
              <w:bottom w:val="single" w:sz="4" w:space="0" w:color="808080" w:themeColor="background1" w:themeShade="80"/>
              <w:right w:val="single" w:sz="4" w:space="0" w:color="FFFFFF" w:themeColor="background1"/>
            </w:tcBorders>
            <w:shd w:val="clear" w:color="auto" w:fill="auto"/>
          </w:tcPr>
          <w:p w14:paraId="74733D2E" w14:textId="5C30616A" w:rsidR="003B1337" w:rsidRPr="00645A46" w:rsidRDefault="003B1337" w:rsidP="003B1337">
            <w:pPr>
              <w:pStyle w:val="EYBulletedList1"/>
              <w:numPr>
                <w:ilvl w:val="0"/>
                <w:numId w:val="0"/>
              </w:numPr>
              <w:spacing w:beforeLines="20" w:before="48" w:afterLines="20" w:after="48"/>
              <w:jc w:val="center"/>
              <w:rPr>
                <w:sz w:val="18"/>
                <w:szCs w:val="18"/>
                <w:lang w:val="pl-PL"/>
              </w:rPr>
            </w:pPr>
            <w:r w:rsidRPr="00645A46">
              <w:rPr>
                <w:rFonts w:cs="Arial"/>
                <w:sz w:val="18"/>
                <w:szCs w:val="18"/>
                <w:u w:val="single"/>
              </w:rPr>
              <w:t>&lt;</w:t>
            </w:r>
            <w:r w:rsidRPr="00645A46">
              <w:rPr>
                <w:rFonts w:cs="Arial"/>
                <w:sz w:val="18"/>
                <w:szCs w:val="18"/>
              </w:rPr>
              <w:t xml:space="preserve"> 3%</w:t>
            </w:r>
          </w:p>
        </w:tc>
      </w:tr>
      <w:tr w:rsidR="003B1337" w:rsidRPr="008F5EFF" w14:paraId="45456BEF" w14:textId="77777777" w:rsidTr="00060165">
        <w:trPr>
          <w:trHeight w:val="120"/>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109A788C" w14:textId="5321B0D3" w:rsidR="003B1337" w:rsidRPr="00BE14BA" w:rsidRDefault="003B1337" w:rsidP="003B1337">
            <w:pPr>
              <w:pStyle w:val="EYBulletedList1"/>
              <w:numPr>
                <w:ilvl w:val="0"/>
                <w:numId w:val="0"/>
              </w:numPr>
              <w:spacing w:beforeLines="20" w:before="48" w:afterLines="20" w:after="48"/>
              <w:rPr>
                <w:sz w:val="18"/>
                <w:szCs w:val="18"/>
                <w:lang w:val="pl-PL"/>
              </w:rPr>
            </w:pPr>
            <w:r w:rsidRPr="00060165">
              <w:rPr>
                <w:color w:val="000000" w:themeColor="text1"/>
                <w:sz w:val="18"/>
                <w:szCs w:val="18"/>
                <w:lang w:val="pl-PL"/>
              </w:rPr>
              <w:t xml:space="preserve">HD: dawka dializy </w:t>
            </w:r>
            <w:proofErr w:type="spellStart"/>
            <w:r w:rsidRPr="00060165">
              <w:rPr>
                <w:color w:val="000000" w:themeColor="text1"/>
                <w:sz w:val="18"/>
                <w:szCs w:val="18"/>
                <w:lang w:val="pl-PL"/>
              </w:rPr>
              <w:t>spkT</w:t>
            </w:r>
            <w:proofErr w:type="spellEnd"/>
            <w:r w:rsidRPr="00060165">
              <w:rPr>
                <w:color w:val="000000" w:themeColor="text1"/>
                <w:sz w:val="18"/>
                <w:szCs w:val="18"/>
                <w:lang w:val="pl-PL"/>
              </w:rPr>
              <w:t>/V (parametr określany co miesiąc)</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vAlign w:val="center"/>
          </w:tcPr>
          <w:p w14:paraId="1351D42D" w14:textId="12EB0360" w:rsidR="003B1337" w:rsidRPr="007A3BC8" w:rsidRDefault="003B1337" w:rsidP="003B1337">
            <w:pPr>
              <w:pStyle w:val="EYBulletedList1"/>
              <w:numPr>
                <w:ilvl w:val="0"/>
                <w:numId w:val="0"/>
              </w:numPr>
              <w:spacing w:beforeLines="20" w:before="48" w:afterLines="20" w:after="48"/>
              <w:jc w:val="center"/>
              <w:rPr>
                <w:b/>
                <w:sz w:val="18"/>
                <w:szCs w:val="18"/>
                <w:lang w:val="pl-PL"/>
              </w:rPr>
            </w:pPr>
            <w:r w:rsidRPr="00835025">
              <w:rPr>
                <w:color w:val="000000" w:themeColor="text1"/>
                <w:sz w:val="18"/>
                <w:szCs w:val="18"/>
                <w:lang w:val="pl-PL"/>
              </w:rPr>
              <w:t>&gt; 1,3</w:t>
            </w:r>
          </w:p>
        </w:tc>
      </w:tr>
      <w:tr w:rsidR="003B1337" w:rsidRPr="007A3BC8" w14:paraId="21625841" w14:textId="77777777" w:rsidTr="00060165">
        <w:trPr>
          <w:trHeight w:val="120"/>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134A8266" w14:textId="7D220230" w:rsidR="003B1337" w:rsidRPr="00BE14BA" w:rsidRDefault="003B1337" w:rsidP="003B1337">
            <w:pPr>
              <w:pStyle w:val="EYBulletedList1"/>
              <w:numPr>
                <w:ilvl w:val="0"/>
                <w:numId w:val="0"/>
              </w:numPr>
              <w:spacing w:beforeLines="20" w:before="48" w:afterLines="20" w:after="48"/>
              <w:rPr>
                <w:sz w:val="18"/>
                <w:szCs w:val="18"/>
                <w:lang w:val="pl-PL"/>
              </w:rPr>
            </w:pPr>
            <w:r w:rsidRPr="00060165">
              <w:rPr>
                <w:color w:val="000000" w:themeColor="text1"/>
                <w:sz w:val="18"/>
                <w:szCs w:val="18"/>
                <w:lang w:val="pl-PL"/>
              </w:rPr>
              <w:t xml:space="preserve">DO: dawka dializy tygodniowy </w:t>
            </w:r>
            <w:proofErr w:type="spellStart"/>
            <w:r w:rsidRPr="00060165">
              <w:rPr>
                <w:color w:val="000000" w:themeColor="text1"/>
                <w:sz w:val="18"/>
                <w:szCs w:val="18"/>
                <w:lang w:val="pl-PL"/>
              </w:rPr>
              <w:t>kT</w:t>
            </w:r>
            <w:proofErr w:type="spellEnd"/>
            <w:r w:rsidRPr="00060165">
              <w:rPr>
                <w:color w:val="000000" w:themeColor="text1"/>
                <w:sz w:val="18"/>
                <w:szCs w:val="18"/>
                <w:lang w:val="pl-PL"/>
              </w:rPr>
              <w:t>/V (parametr określany co 6 tygodni)</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vAlign w:val="center"/>
          </w:tcPr>
          <w:p w14:paraId="422505F5" w14:textId="4B225D1C" w:rsidR="003B1337" w:rsidRPr="00BE14BA" w:rsidRDefault="003B1337" w:rsidP="003B1337">
            <w:pPr>
              <w:pStyle w:val="EYBulletedList1"/>
              <w:numPr>
                <w:ilvl w:val="0"/>
                <w:numId w:val="0"/>
              </w:numPr>
              <w:spacing w:beforeLines="20" w:before="48" w:afterLines="25" w:after="60"/>
              <w:jc w:val="center"/>
              <w:rPr>
                <w:b/>
                <w:sz w:val="18"/>
                <w:szCs w:val="18"/>
                <w:lang w:val="pl-PL"/>
              </w:rPr>
            </w:pPr>
            <w:r w:rsidRPr="00BE14BA">
              <w:rPr>
                <w:color w:val="000000" w:themeColor="text1"/>
                <w:sz w:val="18"/>
                <w:szCs w:val="18"/>
                <w:u w:val="single"/>
              </w:rPr>
              <w:t>&gt;</w:t>
            </w:r>
            <w:r w:rsidRPr="00BE14BA">
              <w:rPr>
                <w:color w:val="000000" w:themeColor="text1"/>
                <w:sz w:val="18"/>
                <w:szCs w:val="18"/>
              </w:rPr>
              <w:t xml:space="preserve"> 1,7</w:t>
            </w:r>
            <w:r>
              <w:rPr>
                <w:color w:val="000000" w:themeColor="text1"/>
                <w:sz w:val="18"/>
                <w:szCs w:val="18"/>
              </w:rPr>
              <w:t>4</w:t>
            </w:r>
          </w:p>
        </w:tc>
      </w:tr>
      <w:tr w:rsidR="003B1337" w:rsidRPr="00C57815" w14:paraId="48C8E270" w14:textId="77777777" w:rsidTr="00060165">
        <w:trPr>
          <w:trHeight w:val="120"/>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020C9F6C" w14:textId="386652E6" w:rsidR="003B1337" w:rsidRPr="00835025" w:rsidRDefault="003B1337" w:rsidP="003B1337">
            <w:pPr>
              <w:pStyle w:val="EYBulletedList1"/>
              <w:numPr>
                <w:ilvl w:val="0"/>
                <w:numId w:val="0"/>
              </w:numPr>
              <w:spacing w:beforeLines="20" w:before="48" w:afterLines="20" w:after="48"/>
              <w:rPr>
                <w:color w:val="000000" w:themeColor="text1"/>
                <w:sz w:val="18"/>
                <w:szCs w:val="18"/>
                <w:lang w:val="pl-PL"/>
              </w:rPr>
            </w:pPr>
            <w:r w:rsidRPr="00835025">
              <w:rPr>
                <w:color w:val="000000" w:themeColor="text1"/>
                <w:sz w:val="18"/>
                <w:szCs w:val="18"/>
                <w:lang w:val="pl-PL"/>
              </w:rPr>
              <w:t xml:space="preserve">Stan nawodnienia oceniany co 3 miesiące jedną </w:t>
            </w:r>
            <w:r>
              <w:rPr>
                <w:color w:val="000000" w:themeColor="text1"/>
                <w:sz w:val="18"/>
                <w:szCs w:val="18"/>
                <w:lang w:val="pl-PL"/>
              </w:rPr>
              <w:br/>
            </w:r>
            <w:r w:rsidRPr="00835025">
              <w:rPr>
                <w:color w:val="000000" w:themeColor="text1"/>
                <w:sz w:val="18"/>
                <w:szCs w:val="18"/>
                <w:lang w:val="pl-PL"/>
              </w:rPr>
              <w:t>z metod wymienionych poniżej:</w:t>
            </w:r>
          </w:p>
          <w:p w14:paraId="394CA8DC" w14:textId="77777777" w:rsidR="003B1337" w:rsidRDefault="003B1337" w:rsidP="003B1337">
            <w:pPr>
              <w:pStyle w:val="EYBulletedList1"/>
              <w:numPr>
                <w:ilvl w:val="0"/>
                <w:numId w:val="0"/>
              </w:numPr>
              <w:spacing w:beforeLines="20" w:before="48" w:afterLines="20" w:after="48"/>
              <w:ind w:left="454"/>
              <w:rPr>
                <w:color w:val="000000" w:themeColor="text1"/>
                <w:sz w:val="18"/>
                <w:szCs w:val="18"/>
                <w:lang w:val="pl-PL"/>
              </w:rPr>
            </w:pPr>
            <w:r w:rsidRPr="00835025">
              <w:rPr>
                <w:color w:val="000000" w:themeColor="text1"/>
                <w:sz w:val="18"/>
                <w:szCs w:val="18"/>
                <w:lang w:val="pl-PL"/>
              </w:rPr>
              <w:t xml:space="preserve">metodą </w:t>
            </w:r>
            <w:proofErr w:type="spellStart"/>
            <w:r w:rsidRPr="00835025">
              <w:rPr>
                <w:color w:val="000000" w:themeColor="text1"/>
                <w:sz w:val="18"/>
                <w:szCs w:val="18"/>
                <w:lang w:val="pl-PL"/>
              </w:rPr>
              <w:t>bioimpedancji</w:t>
            </w:r>
            <w:proofErr w:type="spellEnd"/>
            <w:r w:rsidRPr="00835025">
              <w:rPr>
                <w:color w:val="000000" w:themeColor="text1"/>
                <w:sz w:val="18"/>
                <w:szCs w:val="18"/>
                <w:lang w:val="pl-PL"/>
              </w:rPr>
              <w:t xml:space="preserve"> (parametr określany co 3 miesiące)</w:t>
            </w:r>
          </w:p>
          <w:p w14:paraId="25822348" w14:textId="77777777" w:rsidR="003B1337" w:rsidRPr="00835025" w:rsidRDefault="003B1337" w:rsidP="003B1337">
            <w:pPr>
              <w:pStyle w:val="EYBulletedList1"/>
              <w:numPr>
                <w:ilvl w:val="0"/>
                <w:numId w:val="0"/>
              </w:numPr>
              <w:spacing w:beforeLines="20" w:before="48" w:afterLines="20" w:after="48"/>
              <w:ind w:left="454"/>
              <w:rPr>
                <w:color w:val="000000" w:themeColor="text1"/>
                <w:sz w:val="18"/>
                <w:szCs w:val="18"/>
                <w:lang w:val="pl-PL"/>
              </w:rPr>
            </w:pPr>
          </w:p>
          <w:p w14:paraId="4CF6C35C" w14:textId="77777777" w:rsidR="003B1337" w:rsidRDefault="003B1337" w:rsidP="003B1337">
            <w:pPr>
              <w:pStyle w:val="EYBulletedList1"/>
              <w:numPr>
                <w:ilvl w:val="0"/>
                <w:numId w:val="0"/>
              </w:numPr>
              <w:spacing w:beforeLines="20" w:before="48" w:afterLines="20" w:after="48"/>
              <w:ind w:left="454"/>
              <w:rPr>
                <w:color w:val="000000" w:themeColor="text1"/>
                <w:sz w:val="18"/>
                <w:szCs w:val="18"/>
                <w:lang w:val="pl-PL"/>
              </w:rPr>
            </w:pPr>
            <w:proofErr w:type="spellStart"/>
            <w:r w:rsidRPr="00835025">
              <w:rPr>
                <w:color w:val="000000" w:themeColor="text1"/>
                <w:sz w:val="18"/>
                <w:szCs w:val="18"/>
                <w:lang w:val="pl-PL"/>
              </w:rPr>
              <w:t>wspólczynnik</w:t>
            </w:r>
            <w:proofErr w:type="spellEnd"/>
            <w:r w:rsidRPr="00835025">
              <w:rPr>
                <w:color w:val="000000" w:themeColor="text1"/>
                <w:sz w:val="18"/>
                <w:szCs w:val="18"/>
                <w:lang w:val="pl-PL"/>
              </w:rPr>
              <w:t xml:space="preserve"> </w:t>
            </w:r>
            <w:proofErr w:type="spellStart"/>
            <w:r w:rsidRPr="00835025">
              <w:rPr>
                <w:color w:val="000000" w:themeColor="text1"/>
                <w:sz w:val="18"/>
                <w:szCs w:val="18"/>
                <w:lang w:val="pl-PL"/>
              </w:rPr>
              <w:t>ultrafitracji</w:t>
            </w:r>
            <w:proofErr w:type="spellEnd"/>
            <w:r w:rsidRPr="00835025">
              <w:rPr>
                <w:color w:val="000000" w:themeColor="text1"/>
                <w:sz w:val="18"/>
                <w:szCs w:val="18"/>
                <w:lang w:val="pl-PL"/>
              </w:rPr>
              <w:t xml:space="preserve"> na godzinę HD na kg suchej masy ciała</w:t>
            </w:r>
          </w:p>
          <w:p w14:paraId="0C90389B" w14:textId="77777777" w:rsidR="003B1337" w:rsidRPr="00835025" w:rsidRDefault="003B1337" w:rsidP="003B1337">
            <w:pPr>
              <w:pStyle w:val="EYBulletedList1"/>
              <w:numPr>
                <w:ilvl w:val="0"/>
                <w:numId w:val="0"/>
              </w:numPr>
              <w:spacing w:beforeLines="20" w:before="48" w:afterLines="20" w:after="48"/>
              <w:ind w:left="454"/>
              <w:rPr>
                <w:color w:val="000000" w:themeColor="text1"/>
                <w:sz w:val="18"/>
                <w:szCs w:val="18"/>
                <w:lang w:val="pl-PL"/>
              </w:rPr>
            </w:pPr>
          </w:p>
          <w:p w14:paraId="662DB066" w14:textId="77777777" w:rsidR="003B1337" w:rsidRDefault="003B1337" w:rsidP="003B1337">
            <w:pPr>
              <w:pStyle w:val="EYBulletedList1"/>
              <w:numPr>
                <w:ilvl w:val="0"/>
                <w:numId w:val="0"/>
              </w:numPr>
              <w:spacing w:beforeLines="20" w:before="48" w:afterLines="20" w:after="48"/>
              <w:ind w:left="454"/>
              <w:rPr>
                <w:color w:val="000000" w:themeColor="text1"/>
                <w:sz w:val="18"/>
                <w:szCs w:val="18"/>
                <w:lang w:val="pl-PL"/>
              </w:rPr>
            </w:pPr>
          </w:p>
          <w:p w14:paraId="01D528C7" w14:textId="77777777" w:rsidR="003B1337" w:rsidRDefault="003B1337" w:rsidP="003B1337">
            <w:pPr>
              <w:pStyle w:val="EYBulletedList1"/>
              <w:numPr>
                <w:ilvl w:val="0"/>
                <w:numId w:val="0"/>
              </w:numPr>
              <w:spacing w:beforeLines="20" w:before="48" w:afterLines="20" w:after="48"/>
              <w:ind w:left="454"/>
              <w:rPr>
                <w:color w:val="000000" w:themeColor="text1"/>
                <w:sz w:val="18"/>
                <w:szCs w:val="18"/>
                <w:lang w:val="pl-PL"/>
              </w:rPr>
            </w:pPr>
          </w:p>
          <w:p w14:paraId="31B17D2F" w14:textId="77777777" w:rsidR="003B1337" w:rsidRDefault="003B1337" w:rsidP="003B1337">
            <w:pPr>
              <w:pStyle w:val="EYBulletedList1"/>
              <w:numPr>
                <w:ilvl w:val="0"/>
                <w:numId w:val="0"/>
              </w:numPr>
              <w:spacing w:beforeLines="20" w:before="48" w:afterLines="20" w:after="48"/>
              <w:ind w:left="454"/>
              <w:rPr>
                <w:color w:val="000000" w:themeColor="text1"/>
                <w:sz w:val="18"/>
                <w:szCs w:val="18"/>
                <w:lang w:val="pl-PL"/>
              </w:rPr>
            </w:pPr>
            <w:proofErr w:type="spellStart"/>
            <w:r w:rsidRPr="00835025">
              <w:rPr>
                <w:color w:val="000000" w:themeColor="text1"/>
                <w:sz w:val="18"/>
                <w:szCs w:val="18"/>
                <w:lang w:val="pl-PL"/>
              </w:rPr>
              <w:t>międdzydializacyjny</w:t>
            </w:r>
            <w:proofErr w:type="spellEnd"/>
            <w:r w:rsidRPr="00835025">
              <w:rPr>
                <w:color w:val="000000" w:themeColor="text1"/>
                <w:sz w:val="18"/>
                <w:szCs w:val="18"/>
                <w:lang w:val="pl-PL"/>
              </w:rPr>
              <w:t xml:space="preserve"> przybór masy ciała (masa przed HD – masa po poprzedniej HD)/sucha masa ciała) </w:t>
            </w:r>
          </w:p>
          <w:p w14:paraId="13D855AC" w14:textId="77777777" w:rsidR="003B1337" w:rsidRPr="00835025" w:rsidRDefault="003B1337" w:rsidP="003B1337">
            <w:pPr>
              <w:pStyle w:val="EYBulletedList1"/>
              <w:numPr>
                <w:ilvl w:val="0"/>
                <w:numId w:val="0"/>
              </w:numPr>
              <w:spacing w:beforeLines="20" w:before="48" w:afterLines="20" w:after="48"/>
              <w:ind w:left="454"/>
              <w:rPr>
                <w:color w:val="000000" w:themeColor="text1"/>
                <w:sz w:val="18"/>
                <w:szCs w:val="18"/>
                <w:lang w:val="pl-PL"/>
              </w:rPr>
            </w:pPr>
          </w:p>
          <w:p w14:paraId="011C48F9" w14:textId="77777777" w:rsidR="003B1337" w:rsidRPr="00835025" w:rsidRDefault="003B1337" w:rsidP="003B1337">
            <w:pPr>
              <w:pStyle w:val="EYBulletedList1"/>
              <w:numPr>
                <w:ilvl w:val="0"/>
                <w:numId w:val="0"/>
              </w:numPr>
              <w:spacing w:beforeLines="20" w:before="48" w:afterLines="20" w:after="48"/>
              <w:ind w:left="454"/>
              <w:rPr>
                <w:color w:val="000000" w:themeColor="text1"/>
                <w:sz w:val="18"/>
                <w:szCs w:val="18"/>
                <w:lang w:val="pl-PL"/>
              </w:rPr>
            </w:pPr>
            <w:r w:rsidRPr="00835025">
              <w:rPr>
                <w:color w:val="000000" w:themeColor="text1"/>
                <w:sz w:val="18"/>
                <w:szCs w:val="18"/>
                <w:lang w:val="pl-PL"/>
              </w:rPr>
              <w:lastRenderedPageBreak/>
              <w:t>na podstawie parametrów ultrafiltracji i ciśnienia tętniczego krwi</w:t>
            </w:r>
          </w:p>
          <w:p w14:paraId="54E07DB1" w14:textId="3CB8E8BD" w:rsidR="003B1337" w:rsidRPr="00452B87" w:rsidRDefault="003B1337" w:rsidP="003B1337">
            <w:pPr>
              <w:pStyle w:val="EYBulletedList1"/>
              <w:numPr>
                <w:ilvl w:val="0"/>
                <w:numId w:val="0"/>
              </w:numPr>
              <w:spacing w:beforeLines="20" w:before="48" w:afterLines="20" w:after="48"/>
              <w:rPr>
                <w:sz w:val="18"/>
                <w:szCs w:val="18"/>
                <w:lang w:val="pl-PL"/>
              </w:rPr>
            </w:pP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vAlign w:val="center"/>
          </w:tcPr>
          <w:p w14:paraId="113C2C42" w14:textId="77777777" w:rsidR="003B1337" w:rsidRDefault="003B1337" w:rsidP="003B1337">
            <w:pPr>
              <w:pStyle w:val="NormalnyWeb"/>
              <w:tabs>
                <w:tab w:val="left" w:pos="288"/>
              </w:tabs>
              <w:spacing w:before="120" w:beforeAutospacing="0" w:after="120" w:afterAutospacing="0" w:line="276" w:lineRule="auto"/>
              <w:jc w:val="center"/>
              <w:rPr>
                <w:rFonts w:ascii="EYInterstate Light" w:hAnsi="EYInterstate Light"/>
                <w:color w:val="000000" w:themeColor="text1"/>
                <w:kern w:val="12"/>
                <w:sz w:val="18"/>
                <w:szCs w:val="18"/>
                <w:lang w:val="pl-PL"/>
              </w:rPr>
            </w:pPr>
          </w:p>
          <w:p w14:paraId="4C7AA775" w14:textId="77777777" w:rsidR="003B1337" w:rsidRDefault="003B1337" w:rsidP="003B1337">
            <w:pPr>
              <w:pStyle w:val="NormalnyWeb"/>
              <w:tabs>
                <w:tab w:val="left" w:pos="288"/>
              </w:tabs>
              <w:spacing w:before="120" w:beforeAutospacing="0" w:after="120" w:afterAutospacing="0" w:line="276" w:lineRule="auto"/>
              <w:jc w:val="center"/>
              <w:rPr>
                <w:rFonts w:ascii="EYInterstate Light" w:hAnsi="EYInterstate Light"/>
                <w:color w:val="000000" w:themeColor="text1"/>
                <w:kern w:val="12"/>
                <w:sz w:val="18"/>
                <w:szCs w:val="18"/>
                <w:lang w:val="pl-PL"/>
              </w:rPr>
            </w:pPr>
          </w:p>
          <w:p w14:paraId="46923BEB" w14:textId="77777777" w:rsidR="003B1337" w:rsidRPr="00060165" w:rsidRDefault="003B1337" w:rsidP="003B1337">
            <w:pPr>
              <w:pStyle w:val="NormalnyWeb"/>
              <w:tabs>
                <w:tab w:val="left" w:pos="288"/>
              </w:tabs>
              <w:spacing w:before="120" w:beforeAutospacing="0" w:after="120" w:afterAutospacing="0" w:line="276" w:lineRule="auto"/>
              <w:jc w:val="center"/>
              <w:rPr>
                <w:rFonts w:ascii="EYInterstate Light" w:hAnsi="EYInterstate Light" w:cs="Arial"/>
                <w:sz w:val="18"/>
                <w:szCs w:val="18"/>
                <w:lang w:val="pl-PL"/>
              </w:rPr>
            </w:pPr>
            <w:r w:rsidRPr="00060165">
              <w:rPr>
                <w:rFonts w:ascii="EYInterstate Light" w:hAnsi="EYInterstate Light"/>
                <w:color w:val="000000" w:themeColor="text1"/>
                <w:kern w:val="12"/>
                <w:sz w:val="18"/>
                <w:szCs w:val="18"/>
                <w:lang w:val="pl-PL"/>
              </w:rPr>
              <w:t xml:space="preserve">względne </w:t>
            </w:r>
            <w:proofErr w:type="spellStart"/>
            <w:r w:rsidRPr="00060165">
              <w:rPr>
                <w:rFonts w:ascii="EYInterstate Light" w:hAnsi="EYInterstate Light"/>
                <w:color w:val="000000" w:themeColor="text1"/>
                <w:kern w:val="12"/>
                <w:sz w:val="18"/>
                <w:szCs w:val="18"/>
                <w:lang w:val="pl-PL"/>
              </w:rPr>
              <w:t>przewodnienie</w:t>
            </w:r>
            <w:proofErr w:type="spellEnd"/>
            <w:r w:rsidRPr="00060165">
              <w:rPr>
                <w:rFonts w:ascii="EYInterstate Light" w:hAnsi="EYInterstate Light"/>
                <w:color w:val="000000" w:themeColor="text1"/>
                <w:kern w:val="12"/>
                <w:sz w:val="18"/>
                <w:szCs w:val="18"/>
                <w:lang w:val="pl-PL"/>
              </w:rPr>
              <w:t xml:space="preserve"> &lt; 20% dla </w:t>
            </w:r>
            <w:proofErr w:type="spellStart"/>
            <w:r w:rsidRPr="00060165">
              <w:rPr>
                <w:rFonts w:ascii="EYInterstate Light" w:hAnsi="EYInterstate Light"/>
                <w:color w:val="000000" w:themeColor="text1"/>
                <w:kern w:val="12"/>
                <w:sz w:val="18"/>
                <w:szCs w:val="18"/>
                <w:lang w:val="pl-PL"/>
              </w:rPr>
              <w:t>bioimpedancji</w:t>
            </w:r>
            <w:proofErr w:type="spellEnd"/>
          </w:p>
          <w:p w14:paraId="18771849" w14:textId="77777777" w:rsidR="003B1337" w:rsidRDefault="003B1337" w:rsidP="003B1337">
            <w:pPr>
              <w:pStyle w:val="NormalnyWeb"/>
              <w:tabs>
                <w:tab w:val="left" w:pos="288"/>
              </w:tabs>
              <w:spacing w:before="120" w:beforeAutospacing="0" w:after="120" w:afterAutospacing="0" w:line="276" w:lineRule="auto"/>
              <w:jc w:val="center"/>
              <w:rPr>
                <w:rFonts w:ascii="EYInterstate Light" w:hAnsi="EYInterstate Light"/>
                <w:color w:val="000000" w:themeColor="text1"/>
                <w:kern w:val="12"/>
                <w:sz w:val="18"/>
                <w:szCs w:val="18"/>
                <w:lang w:val="pl-PL"/>
              </w:rPr>
            </w:pPr>
          </w:p>
          <w:p w14:paraId="7311908B" w14:textId="77777777" w:rsidR="003B1337" w:rsidRPr="00060165" w:rsidRDefault="003B1337" w:rsidP="003B1337">
            <w:pPr>
              <w:pStyle w:val="NormalnyWeb"/>
              <w:tabs>
                <w:tab w:val="left" w:pos="288"/>
              </w:tabs>
              <w:spacing w:before="120" w:beforeAutospacing="0" w:after="120" w:afterAutospacing="0" w:line="276" w:lineRule="auto"/>
              <w:jc w:val="center"/>
              <w:rPr>
                <w:rFonts w:ascii="EYInterstate Light" w:hAnsi="EYInterstate Light" w:cs="Arial"/>
                <w:sz w:val="18"/>
                <w:szCs w:val="18"/>
                <w:lang w:val="pl-PL"/>
              </w:rPr>
            </w:pPr>
            <w:r w:rsidRPr="00060165">
              <w:rPr>
                <w:rFonts w:ascii="EYInterstate Light" w:hAnsi="EYInterstate Light"/>
                <w:color w:val="000000" w:themeColor="text1"/>
                <w:kern w:val="12"/>
                <w:sz w:val="18"/>
                <w:szCs w:val="18"/>
                <w:lang w:val="pl-PL"/>
              </w:rPr>
              <w:t>Odsetek pacjentów w wartością &lt; 10 ml//kg</w:t>
            </w:r>
          </w:p>
          <w:p w14:paraId="03E30D1A" w14:textId="77777777" w:rsidR="003B1337" w:rsidRPr="00060165" w:rsidRDefault="003B1337" w:rsidP="003B1337">
            <w:pPr>
              <w:pStyle w:val="NormalnyWeb"/>
              <w:tabs>
                <w:tab w:val="left" w:pos="288"/>
              </w:tabs>
              <w:spacing w:before="120" w:beforeAutospacing="0" w:after="120" w:afterAutospacing="0" w:line="276" w:lineRule="auto"/>
              <w:jc w:val="center"/>
              <w:rPr>
                <w:rFonts w:ascii="EYInterstate Light" w:hAnsi="EYInterstate Light" w:cs="Arial"/>
                <w:sz w:val="18"/>
                <w:szCs w:val="18"/>
                <w:lang w:val="pl-PL"/>
              </w:rPr>
            </w:pPr>
            <w:r w:rsidRPr="00060165">
              <w:rPr>
                <w:rFonts w:ascii="EYInterstate Light" w:hAnsi="EYInterstate Light"/>
                <w:color w:val="000000" w:themeColor="text1"/>
                <w:kern w:val="12"/>
                <w:sz w:val="18"/>
                <w:szCs w:val="18"/>
                <w:lang w:val="pl-PL"/>
              </w:rPr>
              <w:t>Odsetek pacjentów z wartością &lt; 13 ml/h/kg</w:t>
            </w:r>
          </w:p>
          <w:p w14:paraId="6D5B6646" w14:textId="77777777" w:rsidR="003B1337" w:rsidRPr="00835025" w:rsidRDefault="003B1337" w:rsidP="003B1337">
            <w:pPr>
              <w:pStyle w:val="EYBulletedList1"/>
              <w:numPr>
                <w:ilvl w:val="0"/>
                <w:numId w:val="0"/>
              </w:numPr>
              <w:spacing w:beforeLines="20" w:before="48" w:afterLines="20" w:after="48"/>
              <w:ind w:left="-108"/>
              <w:jc w:val="center"/>
              <w:rPr>
                <w:color w:val="000000" w:themeColor="text1"/>
                <w:sz w:val="18"/>
                <w:szCs w:val="18"/>
                <w:lang w:val="pl-PL"/>
              </w:rPr>
            </w:pPr>
          </w:p>
          <w:p w14:paraId="698A0719" w14:textId="77777777" w:rsidR="003B1337" w:rsidRDefault="003B1337" w:rsidP="003B1337">
            <w:pPr>
              <w:pStyle w:val="EYBulletedList1"/>
              <w:numPr>
                <w:ilvl w:val="0"/>
                <w:numId w:val="0"/>
              </w:numPr>
              <w:spacing w:beforeLines="20" w:before="48" w:afterLines="20" w:after="48"/>
              <w:ind w:left="-108"/>
              <w:jc w:val="center"/>
              <w:rPr>
                <w:color w:val="000000" w:themeColor="text1"/>
                <w:sz w:val="18"/>
                <w:szCs w:val="18"/>
                <w:lang w:val="pl-PL"/>
              </w:rPr>
            </w:pPr>
          </w:p>
          <w:p w14:paraId="00F86302" w14:textId="77777777" w:rsidR="003B1337" w:rsidRPr="00835025" w:rsidRDefault="003B1337" w:rsidP="003B1337">
            <w:pPr>
              <w:pStyle w:val="EYBulletedList1"/>
              <w:numPr>
                <w:ilvl w:val="0"/>
                <w:numId w:val="0"/>
              </w:numPr>
              <w:spacing w:beforeLines="20" w:before="48" w:afterLines="20" w:after="48"/>
              <w:ind w:left="-108"/>
              <w:jc w:val="center"/>
              <w:rPr>
                <w:color w:val="000000" w:themeColor="text1"/>
                <w:sz w:val="18"/>
                <w:szCs w:val="18"/>
                <w:lang w:val="pl-PL"/>
              </w:rPr>
            </w:pPr>
            <w:r w:rsidRPr="00835025">
              <w:rPr>
                <w:color w:val="000000" w:themeColor="text1"/>
                <w:sz w:val="18"/>
                <w:szCs w:val="18"/>
                <w:lang w:val="pl-PL"/>
              </w:rPr>
              <w:t>Odsetek pacjentów z wartością &lt; 5%</w:t>
            </w:r>
          </w:p>
          <w:p w14:paraId="53FAFBEC" w14:textId="77777777" w:rsidR="003B1337" w:rsidRPr="00835025" w:rsidRDefault="003B1337" w:rsidP="003B1337">
            <w:pPr>
              <w:pStyle w:val="EYBulletedList1"/>
              <w:numPr>
                <w:ilvl w:val="0"/>
                <w:numId w:val="0"/>
              </w:numPr>
              <w:spacing w:beforeLines="20" w:before="48" w:afterLines="20" w:after="48"/>
              <w:ind w:left="-108"/>
              <w:jc w:val="center"/>
              <w:rPr>
                <w:color w:val="000000" w:themeColor="text1"/>
                <w:sz w:val="18"/>
                <w:szCs w:val="18"/>
                <w:lang w:val="pl-PL"/>
              </w:rPr>
            </w:pPr>
          </w:p>
          <w:p w14:paraId="666F6D82" w14:textId="77777777" w:rsidR="003B1337" w:rsidRDefault="003B1337" w:rsidP="003B1337">
            <w:pPr>
              <w:pStyle w:val="EYBulletedList1"/>
              <w:numPr>
                <w:ilvl w:val="0"/>
                <w:numId w:val="0"/>
              </w:numPr>
              <w:spacing w:beforeLines="20" w:before="48" w:afterLines="20" w:after="48"/>
              <w:ind w:left="-108"/>
              <w:jc w:val="center"/>
              <w:rPr>
                <w:color w:val="000000" w:themeColor="text1"/>
                <w:sz w:val="18"/>
                <w:szCs w:val="18"/>
                <w:lang w:val="pl-PL"/>
              </w:rPr>
            </w:pPr>
          </w:p>
          <w:p w14:paraId="2AF9B607" w14:textId="5E9F6F6A" w:rsidR="003B1337" w:rsidRPr="00BE14BA" w:rsidRDefault="003B1337" w:rsidP="003B1337">
            <w:pPr>
              <w:pStyle w:val="EYBulletedList1"/>
              <w:numPr>
                <w:ilvl w:val="0"/>
                <w:numId w:val="0"/>
              </w:numPr>
              <w:spacing w:beforeLines="20" w:before="48" w:afterLines="20" w:after="48"/>
              <w:ind w:left="-108"/>
              <w:jc w:val="center"/>
              <w:rPr>
                <w:b/>
                <w:sz w:val="18"/>
                <w:szCs w:val="18"/>
                <w:lang w:val="pl-PL"/>
              </w:rPr>
            </w:pPr>
            <w:r w:rsidRPr="00452B87">
              <w:rPr>
                <w:color w:val="000000" w:themeColor="text1"/>
                <w:sz w:val="18"/>
                <w:szCs w:val="18"/>
                <w:lang w:val="pl-PL"/>
              </w:rPr>
              <w:t>Do weryfikacji w trakcie pilotażu</w:t>
            </w:r>
          </w:p>
        </w:tc>
      </w:tr>
      <w:tr w:rsidR="003B1337" w:rsidRPr="007A3BC8" w14:paraId="1FD736A1" w14:textId="77777777" w:rsidTr="00060165">
        <w:trPr>
          <w:trHeight w:val="120"/>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5DA3CFDB" w14:textId="5B99BE9D" w:rsidR="003B1337" w:rsidRPr="00BE14BA" w:rsidRDefault="003B1337" w:rsidP="003B1337">
            <w:pPr>
              <w:pStyle w:val="EYBulletedList1"/>
              <w:numPr>
                <w:ilvl w:val="0"/>
                <w:numId w:val="0"/>
              </w:numPr>
              <w:spacing w:beforeLines="20" w:before="48" w:afterLines="20" w:after="48"/>
              <w:rPr>
                <w:sz w:val="18"/>
                <w:szCs w:val="18"/>
                <w:lang w:val="pl-PL"/>
              </w:rPr>
            </w:pPr>
            <w:r w:rsidRPr="00060165">
              <w:rPr>
                <w:color w:val="000000" w:themeColor="text1"/>
                <w:sz w:val="18"/>
                <w:szCs w:val="18"/>
                <w:lang w:val="pl-PL"/>
              </w:rPr>
              <w:t xml:space="preserve">HD i DO: stan odżywienia pacjentów mierzony metodą </w:t>
            </w:r>
            <w:proofErr w:type="spellStart"/>
            <w:r w:rsidRPr="00060165">
              <w:rPr>
                <w:color w:val="000000" w:themeColor="text1"/>
                <w:sz w:val="18"/>
                <w:szCs w:val="18"/>
                <w:lang w:val="pl-PL"/>
              </w:rPr>
              <w:t>bioimpedancji</w:t>
            </w:r>
            <w:proofErr w:type="spellEnd"/>
            <w:r w:rsidRPr="00060165">
              <w:rPr>
                <w:color w:val="000000" w:themeColor="text1"/>
                <w:sz w:val="18"/>
                <w:szCs w:val="18"/>
                <w:lang w:val="pl-PL"/>
              </w:rPr>
              <w:t xml:space="preserve"> lub na podstawie stężenia albumin i kreatyniny </w:t>
            </w:r>
            <w:r>
              <w:rPr>
                <w:color w:val="000000" w:themeColor="text1"/>
                <w:sz w:val="18"/>
                <w:szCs w:val="18"/>
                <w:lang w:val="pl-PL"/>
              </w:rPr>
              <w:t>albo w</w:t>
            </w:r>
            <w:r w:rsidRPr="003F23F8">
              <w:rPr>
                <w:color w:val="000000" w:themeColor="text1"/>
                <w:sz w:val="18"/>
                <w:szCs w:val="18"/>
                <w:lang w:val="pl-PL"/>
              </w:rPr>
              <w:t xml:space="preserve"> skali SGA </w:t>
            </w:r>
            <w:r w:rsidRPr="00060165">
              <w:rPr>
                <w:color w:val="000000" w:themeColor="text1"/>
                <w:sz w:val="18"/>
                <w:szCs w:val="18"/>
                <w:lang w:val="pl-PL"/>
              </w:rPr>
              <w:t>(parametr określany co 3 miesiące)</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vAlign w:val="center"/>
          </w:tcPr>
          <w:p w14:paraId="00C94EBD" w14:textId="77777777" w:rsidR="003B1337" w:rsidRPr="00452B87" w:rsidRDefault="003B1337" w:rsidP="003B1337">
            <w:pPr>
              <w:pStyle w:val="EYBulletedList1"/>
              <w:numPr>
                <w:ilvl w:val="0"/>
                <w:numId w:val="0"/>
              </w:numPr>
              <w:spacing w:beforeLines="20" w:before="48" w:afterLines="20" w:after="48"/>
              <w:jc w:val="center"/>
              <w:rPr>
                <w:color w:val="000000" w:themeColor="text1"/>
                <w:sz w:val="18"/>
                <w:szCs w:val="18"/>
                <w:lang w:val="pl-PL"/>
              </w:rPr>
            </w:pPr>
            <w:r w:rsidRPr="00060165">
              <w:rPr>
                <w:color w:val="000000" w:themeColor="text1"/>
                <w:sz w:val="18"/>
                <w:szCs w:val="18"/>
                <w:lang w:val="pl-PL"/>
              </w:rPr>
              <w:t> </w:t>
            </w:r>
            <w:r w:rsidRPr="00452B87">
              <w:rPr>
                <w:color w:val="000000" w:themeColor="text1"/>
                <w:sz w:val="18"/>
                <w:szCs w:val="18"/>
                <w:lang w:val="pl-PL"/>
              </w:rPr>
              <w:t>Do weryfikacji w trakcie pilotażu</w:t>
            </w:r>
          </w:p>
          <w:p w14:paraId="2C42F5AA" w14:textId="7D611410" w:rsidR="003B1337" w:rsidRPr="00452B87" w:rsidRDefault="003B1337" w:rsidP="003B1337">
            <w:pPr>
              <w:pStyle w:val="EYBulletedList1"/>
              <w:numPr>
                <w:ilvl w:val="0"/>
                <w:numId w:val="0"/>
              </w:numPr>
              <w:spacing w:beforeLines="20" w:before="48" w:afterLines="25" w:after="60"/>
              <w:ind w:left="360"/>
              <w:rPr>
                <w:b/>
                <w:sz w:val="18"/>
                <w:szCs w:val="18"/>
                <w:lang w:val="pl-PL"/>
              </w:rPr>
            </w:pPr>
          </w:p>
        </w:tc>
      </w:tr>
      <w:tr w:rsidR="003B1337" w:rsidRPr="00C57815" w14:paraId="7345690A" w14:textId="77777777" w:rsidTr="00060165">
        <w:trPr>
          <w:trHeight w:val="36"/>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1E5776FD" w14:textId="441A5A69" w:rsidR="003B1337" w:rsidRPr="00452B87" w:rsidRDefault="003B1337" w:rsidP="003B1337">
            <w:pPr>
              <w:pStyle w:val="EYBulletedList1"/>
              <w:numPr>
                <w:ilvl w:val="0"/>
                <w:numId w:val="0"/>
              </w:numPr>
              <w:spacing w:beforeLines="20" w:before="48" w:afterLines="20" w:after="48"/>
              <w:rPr>
                <w:sz w:val="18"/>
                <w:szCs w:val="18"/>
                <w:lang w:val="pl-PL"/>
              </w:rPr>
            </w:pPr>
            <w:r w:rsidRPr="00060165">
              <w:rPr>
                <w:color w:val="000000" w:themeColor="text1"/>
                <w:sz w:val="18"/>
                <w:szCs w:val="18"/>
                <w:lang w:val="pl-PL"/>
              </w:rPr>
              <w:t>HD i DO: stężenie hemoglobiny (parametr określany co miesiąc)</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vAlign w:val="center"/>
          </w:tcPr>
          <w:p w14:paraId="3A01D497" w14:textId="3B13617D" w:rsidR="003B1337" w:rsidRPr="007A3BC8" w:rsidRDefault="003B1337" w:rsidP="003B1337">
            <w:pPr>
              <w:pStyle w:val="EYBulletedList1"/>
              <w:numPr>
                <w:ilvl w:val="0"/>
                <w:numId w:val="0"/>
              </w:numPr>
              <w:spacing w:beforeLines="20" w:before="48" w:afterLines="20" w:after="48"/>
              <w:ind w:left="288" w:hanging="288"/>
              <w:jc w:val="center"/>
              <w:rPr>
                <w:b/>
                <w:sz w:val="18"/>
                <w:szCs w:val="18"/>
                <w:lang w:val="pl-PL"/>
              </w:rPr>
            </w:pPr>
            <w:r w:rsidRPr="00060165">
              <w:rPr>
                <w:color w:val="000000" w:themeColor="text1"/>
                <w:sz w:val="18"/>
                <w:szCs w:val="18"/>
                <w:lang w:val="pl-PL"/>
              </w:rPr>
              <w:t>10–12 g/dl lub &gt;1</w:t>
            </w:r>
            <w:r>
              <w:rPr>
                <w:color w:val="000000" w:themeColor="text1"/>
                <w:sz w:val="18"/>
                <w:szCs w:val="18"/>
                <w:lang w:val="pl-PL"/>
              </w:rPr>
              <w:t>2</w:t>
            </w:r>
            <w:r w:rsidRPr="00060165">
              <w:rPr>
                <w:color w:val="000000" w:themeColor="text1"/>
                <w:sz w:val="18"/>
                <w:szCs w:val="18"/>
                <w:lang w:val="pl-PL"/>
              </w:rPr>
              <w:t xml:space="preserve"> g/dl dla chorych nie leczonych ESA</w:t>
            </w:r>
          </w:p>
        </w:tc>
      </w:tr>
      <w:tr w:rsidR="003B1337" w:rsidRPr="007A3BC8" w14:paraId="78BC55FC" w14:textId="77777777" w:rsidTr="00060165">
        <w:trPr>
          <w:trHeight w:val="120"/>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64909957" w14:textId="77777777" w:rsidR="003B1337" w:rsidRPr="00452B87" w:rsidRDefault="003B1337" w:rsidP="003B1337">
            <w:pPr>
              <w:widowControl/>
              <w:autoSpaceDE/>
              <w:autoSpaceDN/>
              <w:adjustRightInd/>
              <w:spacing w:before="0" w:after="0" w:line="240" w:lineRule="auto"/>
              <w:jc w:val="left"/>
              <w:rPr>
                <w:kern w:val="12"/>
                <w:sz w:val="18"/>
                <w:szCs w:val="18"/>
                <w:lang w:val="pl-PL"/>
              </w:rPr>
            </w:pPr>
            <w:r w:rsidRPr="00452B87">
              <w:rPr>
                <w:kern w:val="12"/>
                <w:sz w:val="18"/>
                <w:szCs w:val="18"/>
                <w:lang w:val="pl-PL"/>
              </w:rPr>
              <w:t xml:space="preserve">HD: gospodarka wapniowo-fosforanowa </w:t>
            </w:r>
          </w:p>
          <w:p w14:paraId="1A578855" w14:textId="77777777" w:rsidR="003B1337" w:rsidRPr="007A3BC8" w:rsidRDefault="003B1337" w:rsidP="003B1337">
            <w:pPr>
              <w:widowControl/>
              <w:autoSpaceDE/>
              <w:autoSpaceDN/>
              <w:adjustRightInd/>
              <w:spacing w:before="0" w:after="0" w:line="240" w:lineRule="auto"/>
              <w:jc w:val="left"/>
              <w:rPr>
                <w:kern w:val="12"/>
                <w:sz w:val="18"/>
                <w:szCs w:val="18"/>
                <w:lang w:val="pl-PL"/>
              </w:rPr>
            </w:pPr>
            <w:r w:rsidRPr="00BE14BA">
              <w:rPr>
                <w:kern w:val="12"/>
                <w:sz w:val="18"/>
                <w:szCs w:val="18"/>
                <w:lang w:val="pl-PL"/>
              </w:rPr>
              <w:t>stężenie parathormonu (PTH) (parametr określany co 6 miesięcy</w:t>
            </w:r>
            <w:r w:rsidRPr="007A3BC8">
              <w:rPr>
                <w:kern w:val="12"/>
                <w:sz w:val="18"/>
                <w:szCs w:val="18"/>
                <w:lang w:val="pl-PL"/>
              </w:rPr>
              <w:t>)</w:t>
            </w:r>
          </w:p>
          <w:p w14:paraId="6C341B87" w14:textId="09A11436" w:rsidR="003B1337" w:rsidRPr="007A3BC8" w:rsidRDefault="003B1337" w:rsidP="003B1337">
            <w:pPr>
              <w:pStyle w:val="EYBulletedList1"/>
              <w:numPr>
                <w:ilvl w:val="0"/>
                <w:numId w:val="0"/>
              </w:numPr>
              <w:spacing w:beforeLines="20" w:before="48" w:afterLines="20" w:after="48"/>
              <w:rPr>
                <w:sz w:val="18"/>
                <w:szCs w:val="18"/>
                <w:lang w:val="pl-PL"/>
              </w:rPr>
            </w:pPr>
            <w:r w:rsidRPr="007A3BC8">
              <w:rPr>
                <w:sz w:val="18"/>
                <w:szCs w:val="18"/>
                <w:lang w:val="pl-PL"/>
              </w:rPr>
              <w:t>Stężenie fosforanów (parametr określany co miesiąc)</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tcPr>
          <w:p w14:paraId="0A45A035" w14:textId="77777777" w:rsidR="003B1337" w:rsidRPr="007A3BC8" w:rsidRDefault="003B1337" w:rsidP="003B1337">
            <w:pPr>
              <w:pStyle w:val="EYBulletedList1"/>
              <w:numPr>
                <w:ilvl w:val="0"/>
                <w:numId w:val="0"/>
              </w:numPr>
              <w:spacing w:beforeLines="20" w:before="48" w:afterLines="20" w:after="48"/>
              <w:ind w:left="29"/>
              <w:jc w:val="center"/>
              <w:rPr>
                <w:color w:val="000000" w:themeColor="text1"/>
                <w:sz w:val="18"/>
                <w:szCs w:val="18"/>
                <w:lang w:val="pl-PL"/>
              </w:rPr>
            </w:pPr>
          </w:p>
          <w:p w14:paraId="01CBF935" w14:textId="77777777" w:rsidR="003B1337" w:rsidRPr="007A3BC8" w:rsidRDefault="003B1337" w:rsidP="003B1337">
            <w:pPr>
              <w:pStyle w:val="EYBulletedList1"/>
              <w:numPr>
                <w:ilvl w:val="0"/>
                <w:numId w:val="0"/>
              </w:numPr>
              <w:spacing w:beforeLines="20" w:before="48" w:afterLines="20" w:after="48"/>
              <w:ind w:left="29"/>
              <w:jc w:val="center"/>
              <w:rPr>
                <w:color w:val="000000" w:themeColor="text1"/>
                <w:sz w:val="18"/>
                <w:szCs w:val="18"/>
                <w:lang w:val="pl-PL"/>
              </w:rPr>
            </w:pPr>
            <w:r w:rsidRPr="007A3BC8">
              <w:rPr>
                <w:color w:val="000000" w:themeColor="text1"/>
                <w:sz w:val="18"/>
                <w:szCs w:val="18"/>
                <w:lang w:val="pl-PL"/>
              </w:rPr>
              <w:t xml:space="preserve">100–500 </w:t>
            </w:r>
            <w:proofErr w:type="spellStart"/>
            <w:r w:rsidRPr="007A3BC8">
              <w:rPr>
                <w:color w:val="000000" w:themeColor="text1"/>
                <w:sz w:val="18"/>
                <w:szCs w:val="18"/>
                <w:lang w:val="pl-PL"/>
              </w:rPr>
              <w:t>pg</w:t>
            </w:r>
            <w:proofErr w:type="spellEnd"/>
            <w:r w:rsidRPr="007A3BC8">
              <w:rPr>
                <w:color w:val="000000" w:themeColor="text1"/>
                <w:sz w:val="18"/>
                <w:szCs w:val="18"/>
                <w:lang w:val="pl-PL"/>
              </w:rPr>
              <w:t>/ml</w:t>
            </w:r>
          </w:p>
          <w:p w14:paraId="2C1FD78A" w14:textId="77777777" w:rsidR="003B1337" w:rsidRPr="007A3BC8" w:rsidRDefault="003B1337" w:rsidP="003B1337">
            <w:pPr>
              <w:pStyle w:val="EYBulletedList1"/>
              <w:numPr>
                <w:ilvl w:val="0"/>
                <w:numId w:val="0"/>
              </w:numPr>
              <w:spacing w:beforeLines="20" w:before="48" w:afterLines="20" w:after="48"/>
              <w:ind w:left="288" w:hanging="288"/>
              <w:jc w:val="center"/>
              <w:rPr>
                <w:color w:val="000000" w:themeColor="text1"/>
                <w:sz w:val="18"/>
                <w:szCs w:val="18"/>
                <w:lang w:val="pl-PL"/>
              </w:rPr>
            </w:pPr>
          </w:p>
          <w:p w14:paraId="092410D1" w14:textId="77777777" w:rsidR="003B1337" w:rsidRPr="007A3BC8" w:rsidRDefault="003B1337" w:rsidP="003B1337">
            <w:pPr>
              <w:pStyle w:val="EYBulletedList1"/>
              <w:numPr>
                <w:ilvl w:val="0"/>
                <w:numId w:val="0"/>
              </w:numPr>
              <w:spacing w:beforeLines="20" w:before="48" w:afterLines="20" w:after="48"/>
              <w:ind w:left="288" w:hanging="288"/>
              <w:jc w:val="center"/>
              <w:rPr>
                <w:color w:val="000000" w:themeColor="text1"/>
                <w:sz w:val="18"/>
                <w:szCs w:val="18"/>
                <w:lang w:val="pl-PL"/>
              </w:rPr>
            </w:pPr>
            <w:r w:rsidRPr="007A3BC8">
              <w:rPr>
                <w:color w:val="000000" w:themeColor="text1"/>
                <w:sz w:val="18"/>
                <w:szCs w:val="18"/>
                <w:lang w:val="pl-PL"/>
              </w:rPr>
              <w:t>2,5 – 5,5 mg/dl</w:t>
            </w:r>
          </w:p>
          <w:p w14:paraId="7610ACA6" w14:textId="6C8A3995" w:rsidR="003B1337" w:rsidRPr="007A3BC8" w:rsidRDefault="003B1337" w:rsidP="003B1337">
            <w:pPr>
              <w:pStyle w:val="EYBulletedList1"/>
              <w:numPr>
                <w:ilvl w:val="0"/>
                <w:numId w:val="0"/>
              </w:numPr>
              <w:spacing w:beforeLines="20" w:before="48" w:afterLines="20" w:after="48"/>
              <w:rPr>
                <w:b/>
                <w:color w:val="000000" w:themeColor="text1"/>
                <w:sz w:val="18"/>
                <w:szCs w:val="18"/>
                <w:lang w:val="pl-PL"/>
              </w:rPr>
            </w:pPr>
          </w:p>
        </w:tc>
      </w:tr>
      <w:tr w:rsidR="003B1337" w:rsidRPr="007A3BC8" w14:paraId="2A343B7E" w14:textId="77777777" w:rsidTr="0006632D">
        <w:trPr>
          <w:trHeight w:val="307"/>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tcPr>
          <w:p w14:paraId="27969B2B" w14:textId="77777777" w:rsidR="003B1337" w:rsidRPr="007A3BC8" w:rsidRDefault="003B1337" w:rsidP="003B1337">
            <w:pPr>
              <w:pStyle w:val="EYBulletedList1"/>
              <w:numPr>
                <w:ilvl w:val="0"/>
                <w:numId w:val="0"/>
              </w:numPr>
              <w:spacing w:beforeLines="20" w:before="48" w:afterLines="20" w:after="48"/>
              <w:ind w:left="288" w:hanging="288"/>
              <w:rPr>
                <w:sz w:val="18"/>
                <w:szCs w:val="18"/>
                <w:lang w:val="pl-PL"/>
              </w:rPr>
            </w:pPr>
            <w:r w:rsidRPr="007A3BC8">
              <w:rPr>
                <w:sz w:val="18"/>
                <w:szCs w:val="18"/>
                <w:lang w:val="pl-PL"/>
              </w:rPr>
              <w:t xml:space="preserve">DO: gospodarka wapniowo-fosforanowa </w:t>
            </w:r>
          </w:p>
          <w:p w14:paraId="57CB9BA8" w14:textId="77777777" w:rsidR="003B1337" w:rsidRPr="007A3BC8" w:rsidRDefault="003B1337" w:rsidP="003B1337">
            <w:pPr>
              <w:pStyle w:val="EYBulletedList1"/>
              <w:numPr>
                <w:ilvl w:val="0"/>
                <w:numId w:val="0"/>
              </w:numPr>
              <w:spacing w:beforeLines="20" w:before="48" w:afterLines="20" w:after="48"/>
              <w:rPr>
                <w:kern w:val="0"/>
                <w:sz w:val="18"/>
                <w:szCs w:val="18"/>
                <w:lang w:val="pl-PL" w:eastAsia="en-US"/>
              </w:rPr>
            </w:pPr>
            <w:r w:rsidRPr="007A3BC8">
              <w:rPr>
                <w:kern w:val="0"/>
                <w:sz w:val="18"/>
                <w:szCs w:val="18"/>
                <w:lang w:val="pl-PL"/>
              </w:rPr>
              <w:t>stężenie parathormonu (PTH) (parametr określany co 6 miesięcy)</w:t>
            </w:r>
          </w:p>
          <w:p w14:paraId="6C3BA426" w14:textId="0DCFF28E" w:rsidR="003B1337" w:rsidRPr="007A3BC8" w:rsidRDefault="003B1337" w:rsidP="003B1337">
            <w:pPr>
              <w:pStyle w:val="EYBulletedList1"/>
              <w:numPr>
                <w:ilvl w:val="0"/>
                <w:numId w:val="0"/>
              </w:numPr>
              <w:spacing w:beforeLines="20" w:before="48" w:afterLines="20" w:after="48"/>
              <w:rPr>
                <w:sz w:val="18"/>
                <w:szCs w:val="18"/>
                <w:lang w:val="pl-PL"/>
              </w:rPr>
            </w:pPr>
            <w:r w:rsidRPr="007A3BC8">
              <w:rPr>
                <w:sz w:val="18"/>
                <w:szCs w:val="18"/>
                <w:lang w:val="pl-PL"/>
              </w:rPr>
              <w:t>Stężenie fosforanów (parametr określany co 6 tygodni)</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tcPr>
          <w:p w14:paraId="77ADEC37" w14:textId="77777777" w:rsidR="003B1337" w:rsidRPr="007A3BC8" w:rsidRDefault="003B1337" w:rsidP="003B1337">
            <w:pPr>
              <w:pStyle w:val="EYBulletedList1"/>
              <w:numPr>
                <w:ilvl w:val="0"/>
                <w:numId w:val="0"/>
              </w:numPr>
              <w:spacing w:beforeLines="20" w:before="48" w:afterLines="20" w:after="48"/>
              <w:ind w:left="288" w:hanging="288"/>
              <w:jc w:val="center"/>
              <w:rPr>
                <w:color w:val="000000" w:themeColor="text1"/>
                <w:sz w:val="18"/>
                <w:szCs w:val="18"/>
                <w:lang w:val="pl-PL"/>
              </w:rPr>
            </w:pPr>
          </w:p>
          <w:p w14:paraId="3C8058F0" w14:textId="3B02DB90" w:rsidR="003B1337" w:rsidRPr="007A3BC8" w:rsidRDefault="003B1337" w:rsidP="003B1337">
            <w:pPr>
              <w:pStyle w:val="EYBulletedList1"/>
              <w:numPr>
                <w:ilvl w:val="0"/>
                <w:numId w:val="0"/>
              </w:numPr>
              <w:spacing w:beforeLines="20" w:before="48" w:afterLines="20" w:after="48"/>
              <w:ind w:left="288" w:hanging="288"/>
              <w:jc w:val="center"/>
              <w:rPr>
                <w:color w:val="000000" w:themeColor="text1"/>
                <w:sz w:val="18"/>
                <w:szCs w:val="18"/>
                <w:lang w:val="pl-PL"/>
              </w:rPr>
            </w:pPr>
            <w:r w:rsidRPr="007A3BC8">
              <w:rPr>
                <w:color w:val="000000" w:themeColor="text1"/>
                <w:sz w:val="18"/>
                <w:szCs w:val="18"/>
                <w:lang w:val="pl-PL"/>
              </w:rPr>
              <w:t xml:space="preserve">100–500 </w:t>
            </w:r>
            <w:proofErr w:type="spellStart"/>
            <w:r w:rsidRPr="007A3BC8">
              <w:rPr>
                <w:color w:val="000000" w:themeColor="text1"/>
                <w:sz w:val="18"/>
                <w:szCs w:val="18"/>
                <w:lang w:val="pl-PL"/>
              </w:rPr>
              <w:t>pg</w:t>
            </w:r>
            <w:proofErr w:type="spellEnd"/>
            <w:r w:rsidRPr="007A3BC8">
              <w:rPr>
                <w:color w:val="000000" w:themeColor="text1"/>
                <w:sz w:val="18"/>
                <w:szCs w:val="18"/>
                <w:lang w:val="pl-PL"/>
              </w:rPr>
              <w:t>/ml</w:t>
            </w:r>
          </w:p>
          <w:p w14:paraId="664BF011" w14:textId="77777777" w:rsidR="003B1337" w:rsidRPr="007A3BC8" w:rsidRDefault="003B1337" w:rsidP="003B1337">
            <w:pPr>
              <w:pStyle w:val="EYBulletedList1"/>
              <w:numPr>
                <w:ilvl w:val="0"/>
                <w:numId w:val="0"/>
              </w:numPr>
              <w:spacing w:beforeLines="20" w:before="48" w:afterLines="20" w:after="48"/>
              <w:ind w:left="288" w:hanging="288"/>
              <w:jc w:val="center"/>
              <w:rPr>
                <w:color w:val="000000" w:themeColor="text1"/>
                <w:sz w:val="18"/>
                <w:szCs w:val="18"/>
                <w:lang w:val="pl-PL"/>
              </w:rPr>
            </w:pPr>
          </w:p>
          <w:p w14:paraId="22E0CAC1" w14:textId="77777777" w:rsidR="003B1337" w:rsidRPr="007A3BC8" w:rsidRDefault="003B1337" w:rsidP="003B1337">
            <w:pPr>
              <w:pStyle w:val="EYBulletedList1"/>
              <w:numPr>
                <w:ilvl w:val="0"/>
                <w:numId w:val="0"/>
              </w:numPr>
              <w:spacing w:beforeLines="20" w:before="48" w:afterLines="20" w:after="48"/>
              <w:ind w:left="288" w:hanging="288"/>
              <w:jc w:val="center"/>
              <w:rPr>
                <w:color w:val="000000" w:themeColor="text1"/>
                <w:sz w:val="18"/>
                <w:szCs w:val="18"/>
                <w:lang w:val="pl-PL"/>
              </w:rPr>
            </w:pPr>
            <w:r w:rsidRPr="007A3BC8">
              <w:rPr>
                <w:color w:val="000000" w:themeColor="text1"/>
                <w:sz w:val="18"/>
                <w:szCs w:val="18"/>
                <w:lang w:val="pl-PL"/>
              </w:rPr>
              <w:t>2,5 – 5,5 mg/dl</w:t>
            </w:r>
          </w:p>
          <w:p w14:paraId="125A3872" w14:textId="70DFC2B8" w:rsidR="003B1337" w:rsidRPr="007A3BC8" w:rsidRDefault="003B1337" w:rsidP="003B1337">
            <w:pPr>
              <w:pStyle w:val="EYBulletedList1"/>
              <w:numPr>
                <w:ilvl w:val="0"/>
                <w:numId w:val="0"/>
              </w:numPr>
              <w:spacing w:beforeLines="20" w:before="48" w:afterLines="25" w:after="60"/>
              <w:jc w:val="center"/>
              <w:rPr>
                <w:b/>
                <w:color w:val="000000" w:themeColor="text1"/>
                <w:sz w:val="18"/>
                <w:szCs w:val="18"/>
                <w:lang w:val="pl-PL"/>
              </w:rPr>
            </w:pPr>
          </w:p>
        </w:tc>
      </w:tr>
      <w:tr w:rsidR="003B1337" w:rsidRPr="00C57815" w14:paraId="2DA98CD5" w14:textId="77777777" w:rsidTr="0006632D">
        <w:trPr>
          <w:trHeight w:val="308"/>
        </w:trPr>
        <w:tc>
          <w:tcPr>
            <w:tcW w:w="4536" w:type="dxa"/>
            <w:tcBorders>
              <w:top w:val="single" w:sz="4" w:space="0" w:color="808080" w:themeColor="background1" w:themeShade="80"/>
              <w:left w:val="single" w:sz="4" w:space="0" w:color="FFFFFF" w:themeColor="background1"/>
              <w:bottom w:val="single" w:sz="4" w:space="0" w:color="808080"/>
              <w:right w:val="single" w:sz="4" w:space="0" w:color="808080"/>
            </w:tcBorders>
            <w:shd w:val="clear" w:color="auto" w:fill="auto"/>
            <w:vAlign w:val="center"/>
          </w:tcPr>
          <w:p w14:paraId="30DB0E97" w14:textId="77777777" w:rsidR="003B1337" w:rsidRPr="00452B87"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Powikłania infekcyjne w postaci zapalenia otrzewnej (DZO) w dializie otrzewnowej</w:t>
            </w:r>
          </w:p>
        </w:tc>
        <w:tc>
          <w:tcPr>
            <w:tcW w:w="4395" w:type="dxa"/>
            <w:tcBorders>
              <w:top w:val="single" w:sz="4" w:space="0" w:color="808080" w:themeColor="background1" w:themeShade="80"/>
              <w:left w:val="single" w:sz="4" w:space="0" w:color="808080"/>
              <w:bottom w:val="single" w:sz="4" w:space="0" w:color="808080"/>
              <w:right w:val="single" w:sz="4" w:space="0" w:color="FFFFFF" w:themeColor="background1"/>
            </w:tcBorders>
            <w:shd w:val="clear" w:color="auto" w:fill="auto"/>
          </w:tcPr>
          <w:p w14:paraId="41A33809" w14:textId="0C5F6FF1" w:rsidR="003B1337" w:rsidRPr="007A3BC8" w:rsidRDefault="003B1337" w:rsidP="003B1337">
            <w:pPr>
              <w:pStyle w:val="EYBulletedList1"/>
              <w:numPr>
                <w:ilvl w:val="0"/>
                <w:numId w:val="0"/>
              </w:numPr>
              <w:spacing w:beforeLines="20" w:before="48" w:afterLines="20" w:after="48"/>
              <w:jc w:val="center"/>
              <w:rPr>
                <w:b/>
                <w:sz w:val="18"/>
                <w:szCs w:val="18"/>
                <w:lang w:val="pl-PL"/>
              </w:rPr>
            </w:pPr>
            <w:r w:rsidRPr="007A3BC8">
              <w:rPr>
                <w:sz w:val="18"/>
                <w:szCs w:val="18"/>
                <w:lang w:val="pl-PL"/>
              </w:rPr>
              <w:t>0,6 incydentu na pacjenta w roku</w:t>
            </w:r>
          </w:p>
        </w:tc>
      </w:tr>
      <w:tr w:rsidR="003B1337" w:rsidRPr="007A3BC8" w14:paraId="19DDF559" w14:textId="77777777" w:rsidTr="00FB74AE">
        <w:trPr>
          <w:trHeight w:val="180"/>
        </w:trPr>
        <w:tc>
          <w:tcPr>
            <w:tcW w:w="8931" w:type="dxa"/>
            <w:gridSpan w:val="2"/>
            <w:tcBorders>
              <w:top w:val="single" w:sz="4" w:space="0" w:color="808080"/>
              <w:left w:val="single" w:sz="4" w:space="0" w:color="FFFFFF" w:themeColor="background1"/>
              <w:right w:val="single" w:sz="4" w:space="0" w:color="FFFFFF" w:themeColor="background1"/>
            </w:tcBorders>
            <w:shd w:val="clear" w:color="auto" w:fill="F2F2F2" w:themeFill="background1" w:themeFillShade="F2"/>
            <w:vAlign w:val="center"/>
          </w:tcPr>
          <w:p w14:paraId="5C8C9FDE" w14:textId="77777777" w:rsidR="003B1337" w:rsidRPr="007A3BC8" w:rsidRDefault="003B1337" w:rsidP="003B1337">
            <w:pPr>
              <w:pStyle w:val="EYBulletedList1"/>
              <w:numPr>
                <w:ilvl w:val="0"/>
                <w:numId w:val="0"/>
              </w:numPr>
              <w:spacing w:beforeLines="20" w:before="48" w:afterLines="25" w:after="60"/>
              <w:rPr>
                <w:b/>
                <w:sz w:val="18"/>
                <w:szCs w:val="18"/>
                <w:lang w:val="pl-PL"/>
              </w:rPr>
            </w:pPr>
            <w:r w:rsidRPr="007A3BC8">
              <w:rPr>
                <w:b/>
                <w:sz w:val="18"/>
                <w:szCs w:val="18"/>
                <w:lang w:val="pl-PL"/>
              </w:rPr>
              <w:t>Transplantologia</w:t>
            </w:r>
          </w:p>
        </w:tc>
      </w:tr>
      <w:tr w:rsidR="003B1337" w:rsidRPr="007A3BC8" w14:paraId="06D76147" w14:textId="77777777" w:rsidTr="0006632D">
        <w:trPr>
          <w:trHeight w:val="180"/>
        </w:trPr>
        <w:tc>
          <w:tcPr>
            <w:tcW w:w="4536" w:type="dxa"/>
            <w:tcBorders>
              <w:left w:val="single" w:sz="4" w:space="0" w:color="FFFFFF" w:themeColor="background1"/>
            </w:tcBorders>
            <w:shd w:val="clear" w:color="auto" w:fill="auto"/>
            <w:vAlign w:val="center"/>
          </w:tcPr>
          <w:p w14:paraId="731A07CF" w14:textId="68ED9032" w:rsidR="003B1337" w:rsidRPr="00415A97" w:rsidRDefault="003B1337" w:rsidP="003B1337">
            <w:pPr>
              <w:pStyle w:val="EYBulletedList1"/>
              <w:numPr>
                <w:ilvl w:val="0"/>
                <w:numId w:val="0"/>
              </w:numPr>
              <w:spacing w:beforeLines="20" w:before="48" w:afterLines="20" w:after="48"/>
              <w:rPr>
                <w:sz w:val="18"/>
                <w:szCs w:val="18"/>
                <w:lang w:val="pl-PL"/>
              </w:rPr>
            </w:pPr>
            <w:r>
              <w:rPr>
                <w:sz w:val="18"/>
                <w:szCs w:val="18"/>
                <w:lang w:val="pl-PL"/>
              </w:rPr>
              <w:t>O</w:t>
            </w:r>
            <w:r w:rsidRPr="00415A97">
              <w:rPr>
                <w:sz w:val="18"/>
                <w:szCs w:val="18"/>
                <w:lang w:val="pl-PL"/>
              </w:rPr>
              <w:t>dsetek pacjentów zgłoszonych do przeszczepienia nerki</w:t>
            </w:r>
          </w:p>
        </w:tc>
        <w:tc>
          <w:tcPr>
            <w:tcW w:w="4395" w:type="dxa"/>
            <w:tcBorders>
              <w:right w:val="single" w:sz="4" w:space="0" w:color="FFFFFF" w:themeColor="background1"/>
            </w:tcBorders>
            <w:shd w:val="clear" w:color="auto" w:fill="auto"/>
          </w:tcPr>
          <w:p w14:paraId="4FB250ED" w14:textId="5F6792D9" w:rsidR="003B1337" w:rsidRPr="00BE14BA" w:rsidRDefault="003B1337" w:rsidP="003B1337">
            <w:pPr>
              <w:pStyle w:val="EYBulletedList1"/>
              <w:numPr>
                <w:ilvl w:val="0"/>
                <w:numId w:val="0"/>
              </w:numPr>
              <w:spacing w:beforeLines="20" w:before="48" w:afterLines="20" w:after="48"/>
              <w:jc w:val="center"/>
              <w:rPr>
                <w:b/>
                <w:sz w:val="18"/>
                <w:szCs w:val="18"/>
                <w:lang w:val="pl-PL"/>
              </w:rPr>
            </w:pPr>
            <w:r w:rsidRPr="00BE14BA">
              <w:rPr>
                <w:sz w:val="18"/>
                <w:szCs w:val="18"/>
                <w:lang w:val="pl-PL"/>
              </w:rPr>
              <w:t>7%</w:t>
            </w:r>
          </w:p>
        </w:tc>
      </w:tr>
      <w:tr w:rsidR="003B1337" w:rsidRPr="00C57815" w14:paraId="2AB826CA" w14:textId="77777777" w:rsidTr="00FB74AE">
        <w:trPr>
          <w:trHeight w:val="36"/>
        </w:trPr>
        <w:tc>
          <w:tcPr>
            <w:tcW w:w="8931" w:type="dxa"/>
            <w:gridSpan w:val="2"/>
            <w:tcBorders>
              <w:left w:val="single" w:sz="4" w:space="0" w:color="FFFFFF" w:themeColor="background1"/>
              <w:right w:val="single" w:sz="4" w:space="0" w:color="FFFFFF" w:themeColor="background1"/>
            </w:tcBorders>
            <w:shd w:val="clear" w:color="auto" w:fill="FFE600"/>
            <w:vAlign w:val="center"/>
          </w:tcPr>
          <w:p w14:paraId="0FBB97B8" w14:textId="77777777" w:rsidR="003B1337" w:rsidRPr="007A3BC8" w:rsidRDefault="003B1337" w:rsidP="003B1337">
            <w:pPr>
              <w:spacing w:before="60" w:after="60" w:line="240" w:lineRule="auto"/>
              <w:jc w:val="left"/>
              <w:rPr>
                <w:b/>
                <w:sz w:val="18"/>
                <w:szCs w:val="18"/>
                <w:lang w:val="pl-PL"/>
              </w:rPr>
            </w:pPr>
            <w:r w:rsidRPr="007A3BC8">
              <w:rPr>
                <w:rFonts w:eastAsia="Calibri"/>
                <w:b/>
                <w:sz w:val="18"/>
                <w:szCs w:val="18"/>
                <w:lang w:val="pl-PL"/>
              </w:rPr>
              <w:t>Wskaźniki dla populacji pacjentów przed dializą</w:t>
            </w:r>
          </w:p>
        </w:tc>
      </w:tr>
      <w:tr w:rsidR="003B1337" w:rsidRPr="007A3BC8" w14:paraId="39427247" w14:textId="77777777" w:rsidTr="00FB74AE">
        <w:trPr>
          <w:trHeight w:val="36"/>
        </w:trPr>
        <w:tc>
          <w:tcPr>
            <w:tcW w:w="8931" w:type="dxa"/>
            <w:gridSpan w:val="2"/>
            <w:tcBorders>
              <w:left w:val="single" w:sz="4" w:space="0" w:color="FFFFFF" w:themeColor="background1"/>
              <w:right w:val="single" w:sz="4" w:space="0" w:color="FFFFFF" w:themeColor="background1"/>
            </w:tcBorders>
            <w:shd w:val="clear" w:color="auto" w:fill="F2F2F2" w:themeFill="background1" w:themeFillShade="F2"/>
            <w:vAlign w:val="center"/>
          </w:tcPr>
          <w:p w14:paraId="75B4EF04" w14:textId="77777777" w:rsidR="003B1337" w:rsidRPr="00452B87" w:rsidRDefault="003B1337" w:rsidP="003B1337">
            <w:pPr>
              <w:pStyle w:val="EYBulletedList1"/>
              <w:numPr>
                <w:ilvl w:val="0"/>
                <w:numId w:val="0"/>
              </w:numPr>
              <w:spacing w:beforeLines="20" w:before="48" w:afterLines="25" w:after="60"/>
              <w:rPr>
                <w:b/>
                <w:sz w:val="18"/>
                <w:szCs w:val="18"/>
                <w:lang w:val="pl-PL"/>
              </w:rPr>
            </w:pPr>
            <w:r w:rsidRPr="00452B87">
              <w:rPr>
                <w:b/>
                <w:sz w:val="18"/>
                <w:szCs w:val="18"/>
                <w:lang w:val="pl-PL"/>
              </w:rPr>
              <w:t>Wyniki leczenia</w:t>
            </w:r>
          </w:p>
        </w:tc>
      </w:tr>
      <w:tr w:rsidR="003B1337" w:rsidRPr="00C57815" w14:paraId="3966C092" w14:textId="77777777" w:rsidTr="0006632D">
        <w:trPr>
          <w:trHeight w:val="150"/>
        </w:trPr>
        <w:tc>
          <w:tcPr>
            <w:tcW w:w="4536" w:type="dxa"/>
            <w:tcBorders>
              <w:left w:val="single" w:sz="4" w:space="0" w:color="FFFFFF" w:themeColor="background1"/>
            </w:tcBorders>
            <w:shd w:val="clear" w:color="auto" w:fill="auto"/>
            <w:vAlign w:val="center"/>
          </w:tcPr>
          <w:p w14:paraId="2D011425" w14:textId="5AE5A8C5" w:rsidR="003B1337" w:rsidRPr="00452B87"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Liczba hospitalizac</w:t>
            </w:r>
            <w:r>
              <w:rPr>
                <w:sz w:val="18"/>
                <w:szCs w:val="18"/>
                <w:lang w:val="pl-PL"/>
              </w:rPr>
              <w:t>j</w:t>
            </w:r>
            <w:r w:rsidRPr="00452B87">
              <w:rPr>
                <w:sz w:val="18"/>
                <w:szCs w:val="18"/>
                <w:lang w:val="pl-PL"/>
              </w:rPr>
              <w:t>i na pacjenta (rocznie)</w:t>
            </w:r>
          </w:p>
        </w:tc>
        <w:tc>
          <w:tcPr>
            <w:tcW w:w="4395" w:type="dxa"/>
            <w:tcBorders>
              <w:right w:val="single" w:sz="4" w:space="0" w:color="FFFFFF" w:themeColor="background1"/>
            </w:tcBorders>
            <w:shd w:val="clear" w:color="auto" w:fill="auto"/>
          </w:tcPr>
          <w:p w14:paraId="1D6EA96F" w14:textId="6422E629" w:rsidR="003B1337" w:rsidRPr="007A3BC8" w:rsidRDefault="003B1337" w:rsidP="003B1337">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3B1337" w:rsidRPr="00C57815" w14:paraId="480A2938" w14:textId="77777777" w:rsidTr="0006632D">
        <w:trPr>
          <w:trHeight w:val="150"/>
        </w:trPr>
        <w:tc>
          <w:tcPr>
            <w:tcW w:w="4536" w:type="dxa"/>
            <w:tcBorders>
              <w:left w:val="single" w:sz="4" w:space="0" w:color="FFFFFF" w:themeColor="background1"/>
            </w:tcBorders>
            <w:shd w:val="clear" w:color="auto" w:fill="auto"/>
            <w:vAlign w:val="center"/>
          </w:tcPr>
          <w:p w14:paraId="35F67230" w14:textId="37887651" w:rsidR="003B1337" w:rsidRPr="00BE14BA" w:rsidRDefault="003B1337" w:rsidP="003B1337">
            <w:pPr>
              <w:pStyle w:val="EYBulletedList1"/>
              <w:numPr>
                <w:ilvl w:val="0"/>
                <w:numId w:val="0"/>
              </w:numPr>
              <w:spacing w:beforeLines="20" w:before="48" w:afterLines="20" w:after="48"/>
              <w:rPr>
                <w:sz w:val="18"/>
                <w:szCs w:val="18"/>
                <w:lang w:val="pl-PL"/>
              </w:rPr>
            </w:pPr>
            <w:r>
              <w:rPr>
                <w:sz w:val="18"/>
                <w:szCs w:val="18"/>
                <w:lang w:val="pl-PL"/>
              </w:rPr>
              <w:t>Długość</w:t>
            </w:r>
            <w:r w:rsidRPr="00BE14BA">
              <w:rPr>
                <w:sz w:val="18"/>
                <w:szCs w:val="18"/>
                <w:lang w:val="pl-PL"/>
              </w:rPr>
              <w:t xml:space="preserve"> hospitalizacji/pacjenta/rok</w:t>
            </w:r>
          </w:p>
        </w:tc>
        <w:tc>
          <w:tcPr>
            <w:tcW w:w="4395" w:type="dxa"/>
            <w:tcBorders>
              <w:right w:val="single" w:sz="4" w:space="0" w:color="FFFFFF" w:themeColor="background1"/>
            </w:tcBorders>
            <w:shd w:val="clear" w:color="auto" w:fill="auto"/>
          </w:tcPr>
          <w:p w14:paraId="4A876A69" w14:textId="41C3C547" w:rsidR="003B1337" w:rsidRPr="007A3BC8" w:rsidRDefault="003B1337" w:rsidP="003B1337">
            <w:pPr>
              <w:pStyle w:val="EYBulletedList1"/>
              <w:numPr>
                <w:ilvl w:val="0"/>
                <w:numId w:val="0"/>
              </w:numPr>
              <w:spacing w:beforeLines="20" w:before="48" w:afterLines="20" w:after="48"/>
              <w:jc w:val="center"/>
              <w:rPr>
                <w:color w:val="000000" w:themeColor="text1"/>
                <w:sz w:val="18"/>
                <w:szCs w:val="18"/>
                <w:lang w:val="pl-PL"/>
              </w:rPr>
            </w:pPr>
            <w:r w:rsidRPr="007A3BC8">
              <w:rPr>
                <w:color w:val="000000" w:themeColor="text1"/>
                <w:sz w:val="18"/>
                <w:szCs w:val="18"/>
                <w:lang w:val="pl-PL"/>
              </w:rPr>
              <w:t>Do weryfikacji w trakcie pilotażu</w:t>
            </w:r>
          </w:p>
        </w:tc>
      </w:tr>
      <w:tr w:rsidR="003B1337" w:rsidRPr="007A3BC8" w14:paraId="2C60A229" w14:textId="77777777" w:rsidTr="0006632D">
        <w:trPr>
          <w:trHeight w:val="150"/>
        </w:trPr>
        <w:tc>
          <w:tcPr>
            <w:tcW w:w="4536" w:type="dxa"/>
            <w:tcBorders>
              <w:left w:val="single" w:sz="4" w:space="0" w:color="FFFFFF" w:themeColor="background1"/>
            </w:tcBorders>
            <w:shd w:val="clear" w:color="auto" w:fill="auto"/>
            <w:vAlign w:val="center"/>
          </w:tcPr>
          <w:p w14:paraId="48DC1279" w14:textId="0E7406FE" w:rsidR="003B1337" w:rsidRPr="00452B87" w:rsidRDefault="003B1337" w:rsidP="003B1337">
            <w:pPr>
              <w:pStyle w:val="EYBulletedList1"/>
              <w:numPr>
                <w:ilvl w:val="0"/>
                <w:numId w:val="0"/>
              </w:numPr>
              <w:spacing w:beforeLines="20" w:before="48" w:afterLines="20" w:after="48"/>
              <w:rPr>
                <w:sz w:val="18"/>
                <w:szCs w:val="18"/>
                <w:lang w:val="pl-PL"/>
              </w:rPr>
            </w:pPr>
            <w:r w:rsidRPr="00452B87">
              <w:rPr>
                <w:sz w:val="18"/>
                <w:szCs w:val="18"/>
                <w:lang w:val="pl-PL"/>
              </w:rPr>
              <w:t>Skorygowana śmiertelność</w:t>
            </w:r>
          </w:p>
        </w:tc>
        <w:tc>
          <w:tcPr>
            <w:tcW w:w="4395" w:type="dxa"/>
            <w:tcBorders>
              <w:right w:val="single" w:sz="4" w:space="0" w:color="FFFFFF" w:themeColor="background1"/>
            </w:tcBorders>
            <w:shd w:val="clear" w:color="auto" w:fill="auto"/>
          </w:tcPr>
          <w:p w14:paraId="3DBD9096" w14:textId="143CFBB8" w:rsidR="003B1337" w:rsidRPr="00BE14BA" w:rsidRDefault="003B1337" w:rsidP="003B1337">
            <w:pPr>
              <w:pStyle w:val="EYBulletedList1"/>
              <w:numPr>
                <w:ilvl w:val="0"/>
                <w:numId w:val="0"/>
              </w:numPr>
              <w:spacing w:beforeLines="20" w:before="48" w:afterLines="20" w:after="48"/>
              <w:jc w:val="center"/>
              <w:rPr>
                <w:color w:val="000000" w:themeColor="text1"/>
                <w:sz w:val="18"/>
                <w:szCs w:val="18"/>
                <w:lang w:val="pl-PL"/>
              </w:rPr>
            </w:pPr>
            <w:r w:rsidRPr="00BE14BA">
              <w:rPr>
                <w:sz w:val="18"/>
                <w:szCs w:val="18"/>
                <w:lang w:val="pl-PL"/>
              </w:rPr>
              <w:t>&lt;20%</w:t>
            </w:r>
          </w:p>
        </w:tc>
      </w:tr>
      <w:tr w:rsidR="003B1337" w:rsidRPr="007A3BC8" w14:paraId="1D075FF1" w14:textId="77777777" w:rsidTr="00C328CA">
        <w:trPr>
          <w:trHeight w:val="36"/>
        </w:trPr>
        <w:tc>
          <w:tcPr>
            <w:tcW w:w="8931" w:type="dxa"/>
            <w:gridSpan w:val="2"/>
            <w:tcBorders>
              <w:left w:val="single" w:sz="4" w:space="0" w:color="FFFFFF" w:themeColor="background1"/>
              <w:bottom w:val="single" w:sz="4" w:space="0" w:color="808080"/>
              <w:right w:val="single" w:sz="4" w:space="0" w:color="FFFFFF" w:themeColor="background1"/>
            </w:tcBorders>
            <w:shd w:val="clear" w:color="auto" w:fill="F2F2F2" w:themeFill="background1" w:themeFillShade="F2"/>
            <w:vAlign w:val="center"/>
          </w:tcPr>
          <w:p w14:paraId="6D101520" w14:textId="77777777" w:rsidR="003B1337" w:rsidRPr="00452B87" w:rsidRDefault="003B1337" w:rsidP="003B1337">
            <w:pPr>
              <w:pStyle w:val="EYBulletedList1"/>
              <w:numPr>
                <w:ilvl w:val="0"/>
                <w:numId w:val="0"/>
              </w:numPr>
              <w:spacing w:beforeLines="20" w:before="48" w:afterLines="25" w:after="60"/>
              <w:rPr>
                <w:b/>
                <w:sz w:val="18"/>
                <w:szCs w:val="18"/>
                <w:lang w:val="pl-PL"/>
              </w:rPr>
            </w:pPr>
            <w:r w:rsidRPr="00452B87">
              <w:rPr>
                <w:b/>
                <w:sz w:val="18"/>
                <w:szCs w:val="18"/>
                <w:lang w:val="pl-PL"/>
              </w:rPr>
              <w:t>Parametry leczenia</w:t>
            </w:r>
          </w:p>
        </w:tc>
      </w:tr>
      <w:tr w:rsidR="003B1337" w:rsidRPr="00C57815" w14:paraId="1A92114B" w14:textId="77777777" w:rsidTr="0006632D">
        <w:trPr>
          <w:trHeight w:val="36"/>
        </w:trPr>
        <w:tc>
          <w:tcPr>
            <w:tcW w:w="4536" w:type="dxa"/>
            <w:tcBorders>
              <w:top w:val="single" w:sz="4" w:space="0" w:color="808080"/>
              <w:left w:val="single" w:sz="4" w:space="0" w:color="FFFFFF" w:themeColor="background1"/>
              <w:bottom w:val="single" w:sz="4" w:space="0" w:color="808080" w:themeColor="background1" w:themeShade="80"/>
              <w:right w:val="single" w:sz="4" w:space="0" w:color="808080"/>
            </w:tcBorders>
            <w:shd w:val="clear" w:color="auto" w:fill="auto"/>
            <w:vAlign w:val="center"/>
          </w:tcPr>
          <w:p w14:paraId="570444D1" w14:textId="51FC1D5B" w:rsidR="003B1337" w:rsidRPr="00060165" w:rsidRDefault="003B1337" w:rsidP="003B1337">
            <w:pPr>
              <w:pStyle w:val="NormalnyWeb"/>
              <w:tabs>
                <w:tab w:val="left" w:pos="133"/>
                <w:tab w:val="left" w:pos="288"/>
              </w:tabs>
              <w:spacing w:before="48" w:beforeAutospacing="0" w:after="48" w:afterAutospacing="0" w:line="276" w:lineRule="auto"/>
              <w:rPr>
                <w:rFonts w:ascii="EYInterstate Light" w:hAnsi="EYInterstate Light" w:cs="Arial"/>
                <w:sz w:val="18"/>
                <w:szCs w:val="18"/>
                <w:lang w:val="pl-PL"/>
              </w:rPr>
            </w:pPr>
            <w:r w:rsidRPr="00452B87">
              <w:rPr>
                <w:rFonts w:ascii="EYInterstate Light" w:hAnsi="EYInterstate Light"/>
                <w:color w:val="000000" w:themeColor="text1"/>
                <w:kern w:val="12"/>
                <w:sz w:val="18"/>
                <w:szCs w:val="18"/>
                <w:lang w:val="pl-PL"/>
              </w:rPr>
              <w:t xml:space="preserve">Stan nawodnienia oceniany </w:t>
            </w:r>
            <w:r>
              <w:rPr>
                <w:rFonts w:ascii="EYInterstate Light" w:hAnsi="EYInterstate Light"/>
                <w:color w:val="000000" w:themeColor="text1"/>
                <w:kern w:val="12"/>
                <w:sz w:val="18"/>
                <w:szCs w:val="18"/>
                <w:lang w:val="pl-PL"/>
              </w:rPr>
              <w:t xml:space="preserve">poprzez pomiar </w:t>
            </w:r>
            <w:r w:rsidRPr="00452B87">
              <w:rPr>
                <w:rFonts w:ascii="EYInterstate Light" w:hAnsi="EYInterstate Light"/>
                <w:color w:val="000000" w:themeColor="text1"/>
                <w:kern w:val="12"/>
                <w:sz w:val="18"/>
                <w:szCs w:val="18"/>
                <w:lang w:val="pl-PL"/>
              </w:rPr>
              <w:t>ciśnienia tętniczego krwi (parametr określany co 3 miesiące)</w:t>
            </w:r>
          </w:p>
          <w:p w14:paraId="3EF86902" w14:textId="078E33AC" w:rsidR="003B1337" w:rsidRPr="00BE14BA" w:rsidRDefault="003B1337" w:rsidP="003B1337">
            <w:pPr>
              <w:pStyle w:val="EYBulletedList1"/>
              <w:numPr>
                <w:ilvl w:val="0"/>
                <w:numId w:val="0"/>
              </w:numPr>
              <w:spacing w:beforeLines="20" w:before="48" w:afterLines="20" w:after="48"/>
              <w:rPr>
                <w:sz w:val="18"/>
                <w:szCs w:val="18"/>
                <w:lang w:val="pl-PL"/>
              </w:rPr>
            </w:pPr>
          </w:p>
        </w:tc>
        <w:tc>
          <w:tcPr>
            <w:tcW w:w="4395" w:type="dxa"/>
            <w:tcBorders>
              <w:top w:val="single" w:sz="4" w:space="0" w:color="808080"/>
              <w:left w:val="single" w:sz="4" w:space="0" w:color="808080"/>
              <w:bottom w:val="single" w:sz="4" w:space="0" w:color="808080" w:themeColor="background1" w:themeShade="80"/>
              <w:right w:val="single" w:sz="4" w:space="0" w:color="FFFFFF" w:themeColor="background1"/>
            </w:tcBorders>
            <w:shd w:val="clear" w:color="auto" w:fill="auto"/>
          </w:tcPr>
          <w:p w14:paraId="5F2B48BB" w14:textId="514FF368" w:rsidR="003B1337" w:rsidRPr="00BE14BA" w:rsidRDefault="003B1337" w:rsidP="003B1337">
            <w:pPr>
              <w:pStyle w:val="EYBulletedList1"/>
              <w:numPr>
                <w:ilvl w:val="0"/>
                <w:numId w:val="0"/>
              </w:numPr>
              <w:spacing w:beforeLines="20" w:before="48" w:afterLines="25" w:after="60"/>
              <w:jc w:val="center"/>
              <w:rPr>
                <w:b/>
                <w:sz w:val="18"/>
                <w:szCs w:val="18"/>
                <w:lang w:val="pl-PL"/>
              </w:rPr>
            </w:pPr>
            <w:r w:rsidRPr="00021A86">
              <w:rPr>
                <w:rFonts w:eastAsiaTheme="minorEastAsia"/>
                <w:color w:val="000000" w:themeColor="text1"/>
                <w:sz w:val="18"/>
                <w:szCs w:val="18"/>
                <w:lang w:val="pl-PL"/>
              </w:rPr>
              <w:t>skurczowe ciśnienie tętnicze w granicach 130 - 160 mmHg</w:t>
            </w:r>
          </w:p>
        </w:tc>
      </w:tr>
      <w:tr w:rsidR="003B1337" w:rsidRPr="00C57815" w14:paraId="48382935" w14:textId="77777777" w:rsidTr="00060165">
        <w:trPr>
          <w:trHeight w:val="36"/>
        </w:trPr>
        <w:tc>
          <w:tcPr>
            <w:tcW w:w="4536" w:type="dxa"/>
            <w:tcBorders>
              <w:top w:val="single" w:sz="4" w:space="0" w:color="808080" w:themeColor="background1" w:themeShade="80"/>
              <w:left w:val="single" w:sz="4" w:space="0" w:color="FFFFFF" w:themeColor="background1"/>
              <w:bottom w:val="single" w:sz="4" w:space="0" w:color="808080" w:themeColor="background1" w:themeShade="80"/>
              <w:right w:val="single" w:sz="4" w:space="0" w:color="808080"/>
            </w:tcBorders>
            <w:shd w:val="clear" w:color="auto" w:fill="auto"/>
            <w:vAlign w:val="center"/>
          </w:tcPr>
          <w:p w14:paraId="70AE182D" w14:textId="3432624E" w:rsidR="003B1337" w:rsidRPr="00BE14BA" w:rsidRDefault="003B1337" w:rsidP="003B1337">
            <w:pPr>
              <w:pStyle w:val="EYBulletedList1"/>
              <w:numPr>
                <w:ilvl w:val="0"/>
                <w:numId w:val="0"/>
              </w:numPr>
              <w:spacing w:beforeLines="20" w:before="48" w:afterLines="20" w:after="48"/>
              <w:rPr>
                <w:sz w:val="18"/>
                <w:szCs w:val="18"/>
                <w:lang w:val="pl-PL"/>
              </w:rPr>
            </w:pPr>
            <w:r w:rsidRPr="00060165">
              <w:rPr>
                <w:rFonts w:eastAsiaTheme="minorEastAsia"/>
                <w:color w:val="000000" w:themeColor="text1"/>
                <w:sz w:val="18"/>
                <w:szCs w:val="18"/>
                <w:lang w:val="pl-PL"/>
              </w:rPr>
              <w:t xml:space="preserve">stan odżywienia pacjentów mierzony metodą </w:t>
            </w:r>
            <w:proofErr w:type="spellStart"/>
            <w:r w:rsidRPr="00060165">
              <w:rPr>
                <w:rFonts w:eastAsiaTheme="minorEastAsia"/>
                <w:color w:val="000000" w:themeColor="text1"/>
                <w:sz w:val="18"/>
                <w:szCs w:val="18"/>
                <w:lang w:val="pl-PL"/>
              </w:rPr>
              <w:t>bioimpedancji</w:t>
            </w:r>
            <w:proofErr w:type="spellEnd"/>
            <w:r w:rsidRPr="00060165">
              <w:rPr>
                <w:rFonts w:eastAsiaTheme="minorEastAsia"/>
                <w:color w:val="000000" w:themeColor="text1"/>
                <w:sz w:val="18"/>
                <w:szCs w:val="18"/>
                <w:lang w:val="pl-PL"/>
              </w:rPr>
              <w:t xml:space="preserve"> lub na podstawie stężenia albumin i kreatyniny </w:t>
            </w:r>
            <w:r>
              <w:rPr>
                <w:rFonts w:eastAsiaTheme="minorEastAsia"/>
                <w:color w:val="000000" w:themeColor="text1"/>
                <w:sz w:val="18"/>
                <w:szCs w:val="18"/>
                <w:lang w:val="pl-PL"/>
              </w:rPr>
              <w:t xml:space="preserve">lub w skali SGA </w:t>
            </w:r>
            <w:r w:rsidRPr="00060165">
              <w:rPr>
                <w:rFonts w:eastAsiaTheme="minorEastAsia"/>
                <w:color w:val="000000" w:themeColor="text1"/>
                <w:sz w:val="18"/>
                <w:szCs w:val="18"/>
                <w:lang w:val="pl-PL"/>
              </w:rPr>
              <w:t>(parametr określany co 3 miesiące)</w:t>
            </w:r>
          </w:p>
        </w:tc>
        <w:tc>
          <w:tcPr>
            <w:tcW w:w="4395" w:type="dxa"/>
            <w:tcBorders>
              <w:top w:val="single" w:sz="4" w:space="0" w:color="808080" w:themeColor="background1" w:themeShade="80"/>
              <w:left w:val="single" w:sz="4" w:space="0" w:color="808080"/>
              <w:bottom w:val="single" w:sz="4" w:space="0" w:color="808080" w:themeColor="background1" w:themeShade="80"/>
              <w:right w:val="single" w:sz="4" w:space="0" w:color="FFFFFF" w:themeColor="background1"/>
            </w:tcBorders>
            <w:shd w:val="clear" w:color="auto" w:fill="auto"/>
            <w:vAlign w:val="center"/>
          </w:tcPr>
          <w:p w14:paraId="4427DC38" w14:textId="37D856DF" w:rsidR="003B1337" w:rsidRPr="00452B87" w:rsidRDefault="003B1337" w:rsidP="003B1337">
            <w:pPr>
              <w:pStyle w:val="EYBulletedList1"/>
              <w:numPr>
                <w:ilvl w:val="0"/>
                <w:numId w:val="0"/>
              </w:numPr>
              <w:spacing w:beforeLines="20" w:before="48" w:afterLines="25" w:after="60"/>
              <w:jc w:val="center"/>
              <w:rPr>
                <w:b/>
                <w:sz w:val="18"/>
                <w:szCs w:val="18"/>
                <w:lang w:val="pl-PL"/>
              </w:rPr>
            </w:pPr>
            <w:r w:rsidRPr="00060165">
              <w:rPr>
                <w:rFonts w:eastAsiaTheme="minorEastAsia"/>
                <w:color w:val="000000" w:themeColor="text1"/>
                <w:sz w:val="18"/>
                <w:szCs w:val="18"/>
                <w:lang w:val="pl-PL"/>
              </w:rPr>
              <w:t>Do weryfikacji w trakcie pilotażu</w:t>
            </w:r>
            <w:r w:rsidRPr="00060165">
              <w:rPr>
                <w:color w:val="000000" w:themeColor="text1"/>
                <w:sz w:val="18"/>
                <w:szCs w:val="18"/>
                <w:lang w:val="pl-PL"/>
              </w:rPr>
              <w:t> </w:t>
            </w:r>
          </w:p>
        </w:tc>
      </w:tr>
      <w:tr w:rsidR="003B1337" w:rsidRPr="00C57815" w14:paraId="1E5CB846" w14:textId="77777777" w:rsidTr="00BC70CE">
        <w:trPr>
          <w:trHeight w:val="330"/>
        </w:trPr>
        <w:tc>
          <w:tcPr>
            <w:tcW w:w="4536" w:type="dxa"/>
            <w:tcBorders>
              <w:top w:val="single" w:sz="4" w:space="0" w:color="808080" w:themeColor="background1" w:themeShade="80"/>
              <w:left w:val="single" w:sz="4" w:space="0" w:color="FFFFFF" w:themeColor="background1"/>
              <w:bottom w:val="single" w:sz="4" w:space="0" w:color="808080"/>
              <w:right w:val="single" w:sz="4" w:space="0" w:color="808080"/>
            </w:tcBorders>
            <w:shd w:val="clear" w:color="auto" w:fill="auto"/>
            <w:vAlign w:val="center"/>
          </w:tcPr>
          <w:p w14:paraId="2D91C06E" w14:textId="018981A8" w:rsidR="003B1337" w:rsidRPr="00452B87" w:rsidRDefault="003B1337" w:rsidP="003B1337">
            <w:pPr>
              <w:pStyle w:val="EYBulletedList1"/>
              <w:numPr>
                <w:ilvl w:val="0"/>
                <w:numId w:val="0"/>
              </w:numPr>
              <w:spacing w:beforeLines="20" w:before="48" w:afterLines="20" w:after="48"/>
              <w:ind w:left="288" w:hanging="288"/>
              <w:rPr>
                <w:sz w:val="18"/>
                <w:szCs w:val="18"/>
                <w:lang w:val="pl-PL"/>
              </w:rPr>
            </w:pPr>
            <w:proofErr w:type="spellStart"/>
            <w:r w:rsidRPr="00060165">
              <w:rPr>
                <w:color w:val="000000" w:themeColor="text1"/>
                <w:sz w:val="18"/>
                <w:szCs w:val="18"/>
              </w:rPr>
              <w:t>stężenie</w:t>
            </w:r>
            <w:proofErr w:type="spellEnd"/>
            <w:r w:rsidRPr="00060165">
              <w:rPr>
                <w:color w:val="000000" w:themeColor="text1"/>
                <w:sz w:val="18"/>
                <w:szCs w:val="18"/>
              </w:rPr>
              <w:t xml:space="preserve"> </w:t>
            </w:r>
            <w:proofErr w:type="spellStart"/>
            <w:r w:rsidRPr="00060165">
              <w:rPr>
                <w:color w:val="000000" w:themeColor="text1"/>
                <w:sz w:val="18"/>
                <w:szCs w:val="18"/>
              </w:rPr>
              <w:t>hemoglobiny</w:t>
            </w:r>
            <w:proofErr w:type="spellEnd"/>
            <w:r w:rsidRPr="00060165">
              <w:rPr>
                <w:color w:val="000000" w:themeColor="text1"/>
                <w:sz w:val="18"/>
                <w:szCs w:val="18"/>
              </w:rPr>
              <w:t xml:space="preserve"> </w:t>
            </w:r>
          </w:p>
        </w:tc>
        <w:tc>
          <w:tcPr>
            <w:tcW w:w="4395" w:type="dxa"/>
            <w:tcBorders>
              <w:top w:val="single" w:sz="4" w:space="0" w:color="808080" w:themeColor="background1" w:themeShade="80"/>
              <w:left w:val="single" w:sz="4" w:space="0" w:color="808080"/>
              <w:right w:val="single" w:sz="4" w:space="0" w:color="FFFFFF" w:themeColor="background1"/>
            </w:tcBorders>
            <w:shd w:val="clear" w:color="auto" w:fill="auto"/>
            <w:vAlign w:val="center"/>
          </w:tcPr>
          <w:p w14:paraId="6E17B3E1" w14:textId="3E39CCF1" w:rsidR="003B1337" w:rsidRPr="00892619" w:rsidRDefault="003B1337" w:rsidP="003B1337">
            <w:pPr>
              <w:pStyle w:val="EYBulletedList1"/>
              <w:numPr>
                <w:ilvl w:val="0"/>
                <w:numId w:val="0"/>
              </w:numPr>
              <w:spacing w:beforeLines="20" w:before="48" w:afterLines="25" w:after="60"/>
              <w:jc w:val="center"/>
              <w:rPr>
                <w:b/>
                <w:sz w:val="18"/>
                <w:szCs w:val="18"/>
                <w:lang w:val="pl-PL"/>
              </w:rPr>
            </w:pPr>
            <w:r w:rsidRPr="00060165">
              <w:rPr>
                <w:color w:val="000000" w:themeColor="text1"/>
                <w:sz w:val="18"/>
                <w:szCs w:val="18"/>
                <w:lang w:val="pl-PL"/>
              </w:rPr>
              <w:t>10–12 g/dl lub &gt;1</w:t>
            </w:r>
            <w:r>
              <w:rPr>
                <w:color w:val="000000" w:themeColor="text1"/>
                <w:sz w:val="18"/>
                <w:szCs w:val="18"/>
                <w:lang w:val="pl-PL"/>
              </w:rPr>
              <w:t>2</w:t>
            </w:r>
            <w:r w:rsidRPr="00060165">
              <w:rPr>
                <w:color w:val="000000" w:themeColor="text1"/>
                <w:sz w:val="18"/>
                <w:szCs w:val="18"/>
                <w:lang w:val="pl-PL"/>
              </w:rPr>
              <w:t xml:space="preserve"> g/dl dla chorych nie leczonych ESA</w:t>
            </w:r>
          </w:p>
        </w:tc>
      </w:tr>
      <w:tr w:rsidR="003B1337" w:rsidRPr="00C57815" w14:paraId="2F117CFD" w14:textId="77777777" w:rsidTr="00BC70CE">
        <w:trPr>
          <w:trHeight w:val="330"/>
        </w:trPr>
        <w:tc>
          <w:tcPr>
            <w:tcW w:w="4536" w:type="dxa"/>
            <w:tcBorders>
              <w:top w:val="single" w:sz="4" w:space="0" w:color="808080" w:themeColor="background1" w:themeShade="80"/>
              <w:left w:val="single" w:sz="4" w:space="0" w:color="FFFFFF" w:themeColor="background1"/>
              <w:bottom w:val="single" w:sz="4" w:space="0" w:color="808080"/>
              <w:right w:val="single" w:sz="4" w:space="0" w:color="808080"/>
            </w:tcBorders>
            <w:shd w:val="clear" w:color="auto" w:fill="auto"/>
            <w:vAlign w:val="center"/>
          </w:tcPr>
          <w:p w14:paraId="7902264B" w14:textId="3042E7CA" w:rsidR="003B1337" w:rsidRPr="00060165" w:rsidRDefault="003B1337" w:rsidP="003B1337">
            <w:pPr>
              <w:pStyle w:val="EYBulletedList1"/>
              <w:numPr>
                <w:ilvl w:val="0"/>
                <w:numId w:val="0"/>
              </w:numPr>
              <w:spacing w:beforeLines="20" w:before="48" w:afterLines="20" w:after="48"/>
              <w:ind w:left="288" w:hanging="288"/>
              <w:rPr>
                <w:color w:val="000000" w:themeColor="text1"/>
                <w:sz w:val="18"/>
                <w:szCs w:val="18"/>
                <w:lang w:val="pl-PL"/>
              </w:rPr>
            </w:pPr>
            <w:r w:rsidRPr="00060165">
              <w:rPr>
                <w:color w:val="000000" w:themeColor="text1"/>
                <w:sz w:val="18"/>
                <w:szCs w:val="18"/>
                <w:lang w:val="pl-PL"/>
              </w:rPr>
              <w:t>gospodarka wapniowo-fosforanowa</w:t>
            </w:r>
          </w:p>
          <w:p w14:paraId="628405E7" w14:textId="39B387BC" w:rsidR="003B1337" w:rsidRPr="00060165" w:rsidRDefault="003B1337" w:rsidP="003B1337">
            <w:pPr>
              <w:pStyle w:val="EYBulletedList1"/>
              <w:numPr>
                <w:ilvl w:val="0"/>
                <w:numId w:val="0"/>
              </w:numPr>
              <w:spacing w:beforeLines="20" w:before="48" w:afterLines="20" w:after="48"/>
              <w:rPr>
                <w:color w:val="000000" w:themeColor="text1"/>
                <w:sz w:val="18"/>
                <w:szCs w:val="18"/>
                <w:lang w:val="pl-PL"/>
              </w:rPr>
            </w:pPr>
            <w:r w:rsidRPr="00060165">
              <w:rPr>
                <w:color w:val="000000" w:themeColor="text1"/>
                <w:sz w:val="18"/>
                <w:szCs w:val="18"/>
                <w:lang w:val="pl-PL"/>
              </w:rPr>
              <w:t>stężenie parathormonu (PTH) (parametr określany co 6 miesięcy)</w:t>
            </w:r>
          </w:p>
          <w:p w14:paraId="359AAE0B" w14:textId="376AFB7C" w:rsidR="003B1337" w:rsidRPr="00060165" w:rsidRDefault="003B1337" w:rsidP="003B1337">
            <w:pPr>
              <w:pStyle w:val="EYBulletedList1"/>
              <w:numPr>
                <w:ilvl w:val="0"/>
                <w:numId w:val="0"/>
              </w:numPr>
              <w:spacing w:beforeLines="20" w:before="48" w:afterLines="20" w:after="48"/>
              <w:ind w:left="29"/>
              <w:rPr>
                <w:color w:val="000000" w:themeColor="text1"/>
                <w:sz w:val="18"/>
                <w:szCs w:val="18"/>
                <w:lang w:val="pl-PL"/>
              </w:rPr>
            </w:pPr>
            <w:r w:rsidRPr="00060165">
              <w:rPr>
                <w:color w:val="000000" w:themeColor="text1"/>
                <w:sz w:val="18"/>
                <w:szCs w:val="18"/>
                <w:lang w:val="pl-PL"/>
              </w:rPr>
              <w:t>stężenie fosforanów (parametr określany co 6 tygodni)</w:t>
            </w:r>
          </w:p>
        </w:tc>
        <w:tc>
          <w:tcPr>
            <w:tcW w:w="4395" w:type="dxa"/>
            <w:tcBorders>
              <w:left w:val="single" w:sz="4" w:space="0" w:color="808080"/>
              <w:bottom w:val="single" w:sz="4" w:space="0" w:color="808080"/>
              <w:right w:val="single" w:sz="4" w:space="0" w:color="FFFFFF" w:themeColor="background1"/>
            </w:tcBorders>
            <w:shd w:val="clear" w:color="auto" w:fill="auto"/>
            <w:vAlign w:val="center"/>
          </w:tcPr>
          <w:p w14:paraId="0A13A79A" w14:textId="329CDC3E" w:rsidR="003B1337" w:rsidRPr="00060165" w:rsidRDefault="003B1337" w:rsidP="003B1337">
            <w:pPr>
              <w:pStyle w:val="NormalnyWeb"/>
              <w:tabs>
                <w:tab w:val="left" w:pos="288"/>
              </w:tabs>
              <w:spacing w:before="0" w:beforeAutospacing="0" w:after="0" w:afterAutospacing="0" w:line="276" w:lineRule="auto"/>
              <w:jc w:val="center"/>
              <w:rPr>
                <w:rFonts w:ascii="EYInterstate Light" w:hAnsi="EYInterstate Light"/>
                <w:color w:val="000000"/>
                <w:kern w:val="12"/>
                <w:sz w:val="18"/>
                <w:szCs w:val="18"/>
                <w:lang w:val="pl-PL"/>
              </w:rPr>
            </w:pPr>
            <w:r>
              <w:rPr>
                <w:rFonts w:ascii="EYInterstate Light" w:hAnsi="EYInterstate Light"/>
                <w:color w:val="000000"/>
                <w:kern w:val="12"/>
                <w:sz w:val="18"/>
                <w:szCs w:val="18"/>
                <w:lang w:val="pl-PL"/>
              </w:rPr>
              <w:t>Do weryfikacji w trakcie pilotażu</w:t>
            </w:r>
          </w:p>
        </w:tc>
      </w:tr>
    </w:tbl>
    <w:p w14:paraId="68FAE89B" w14:textId="27AAD8FC" w:rsidR="00053D84" w:rsidRPr="004E62AC" w:rsidRDefault="00F41F3B" w:rsidP="00B5662A">
      <w:pPr>
        <w:pStyle w:val="EYBulletedList1"/>
        <w:numPr>
          <w:ilvl w:val="0"/>
          <w:numId w:val="0"/>
        </w:numPr>
        <w:spacing w:beforeLines="20" w:before="48" w:afterLines="20" w:after="48"/>
        <w:jc w:val="both"/>
        <w:rPr>
          <w:sz w:val="18"/>
          <w:szCs w:val="18"/>
          <w:lang w:val="pl-PL"/>
        </w:rPr>
      </w:pPr>
      <w:r>
        <w:rPr>
          <w:sz w:val="18"/>
          <w:szCs w:val="18"/>
          <w:lang w:val="pl-PL"/>
        </w:rPr>
        <w:t xml:space="preserve">Źródło: </w:t>
      </w:r>
      <w:r w:rsidRPr="004E62AC">
        <w:rPr>
          <w:sz w:val="18"/>
          <w:szCs w:val="18"/>
          <w:lang w:val="pl-PL"/>
        </w:rPr>
        <w:t>Opracowanie własne</w:t>
      </w:r>
      <w:r>
        <w:rPr>
          <w:sz w:val="18"/>
          <w:szCs w:val="18"/>
          <w:lang w:val="pl-PL"/>
        </w:rPr>
        <w:t xml:space="preserve"> EY</w:t>
      </w:r>
      <w:r w:rsidRPr="004E62AC">
        <w:rPr>
          <w:sz w:val="18"/>
          <w:szCs w:val="18"/>
          <w:lang w:val="pl-PL"/>
        </w:rPr>
        <w:t xml:space="preserve"> na podstawie wywiadów z </w:t>
      </w:r>
      <w:r w:rsidR="00301547">
        <w:rPr>
          <w:sz w:val="18"/>
          <w:szCs w:val="18"/>
          <w:lang w:val="pl-PL"/>
        </w:rPr>
        <w:t xml:space="preserve">przedstawicielami środowiska </w:t>
      </w:r>
      <w:r w:rsidRPr="004E62AC">
        <w:rPr>
          <w:sz w:val="18"/>
          <w:szCs w:val="18"/>
          <w:lang w:val="pl-PL"/>
        </w:rPr>
        <w:t>ekspert</w:t>
      </w:r>
      <w:r w:rsidR="00301547">
        <w:rPr>
          <w:sz w:val="18"/>
          <w:szCs w:val="18"/>
          <w:lang w:val="pl-PL"/>
        </w:rPr>
        <w:t>ów</w:t>
      </w:r>
      <w:r w:rsidRPr="004E62AC">
        <w:rPr>
          <w:sz w:val="18"/>
          <w:szCs w:val="18"/>
          <w:lang w:val="pl-PL"/>
        </w:rPr>
        <w:t xml:space="preserve"> branż</w:t>
      </w:r>
      <w:r w:rsidR="00B5662A">
        <w:rPr>
          <w:sz w:val="18"/>
          <w:szCs w:val="18"/>
          <w:lang w:val="pl-PL"/>
        </w:rPr>
        <w:t>owy</w:t>
      </w:r>
      <w:r w:rsidR="00301547">
        <w:rPr>
          <w:sz w:val="18"/>
          <w:szCs w:val="18"/>
          <w:lang w:val="pl-PL"/>
        </w:rPr>
        <w:t>ch</w:t>
      </w:r>
      <w:r w:rsidR="00B5662A">
        <w:rPr>
          <w:sz w:val="18"/>
          <w:szCs w:val="18"/>
          <w:lang w:val="pl-PL"/>
        </w:rPr>
        <w:t xml:space="preserve"> oraz literatury fachowej: </w:t>
      </w:r>
      <w:r w:rsidRPr="004E62AC">
        <w:rPr>
          <w:sz w:val="18"/>
          <w:szCs w:val="18"/>
          <w:lang w:val="pl-PL"/>
        </w:rPr>
        <w:t>Grupa Robocza PTN pod przewodnictwem Wojciecha Załuski</w:t>
      </w:r>
      <w:r w:rsidR="00301547">
        <w:rPr>
          <w:sz w:val="18"/>
          <w:szCs w:val="18"/>
          <w:lang w:val="pl-PL"/>
        </w:rPr>
        <w:t>ego</w:t>
      </w:r>
      <w:r w:rsidRPr="004E62AC">
        <w:rPr>
          <w:sz w:val="18"/>
          <w:szCs w:val="18"/>
          <w:lang w:val="pl-PL"/>
        </w:rPr>
        <w:t xml:space="preserve">, Rekomendacje Grupy Roboczej Polskiego Towarzystwa Nefrologicznego dotyczące kryteriów jakości leczenia dializami pacjentów z powodu schyłkowej </w:t>
      </w:r>
      <w:r w:rsidRPr="004E62AC">
        <w:rPr>
          <w:sz w:val="18"/>
          <w:szCs w:val="18"/>
          <w:lang w:val="pl-PL"/>
        </w:rPr>
        <w:lastRenderedPageBreak/>
        <w:t>nie</w:t>
      </w:r>
      <w:r w:rsidR="00B3462A">
        <w:rPr>
          <w:sz w:val="18"/>
          <w:szCs w:val="18"/>
          <w:lang w:val="pl-PL"/>
        </w:rPr>
        <w:t>wydolności nerek, 2015; W. Marcinkowski, T. Rydzyńska, M.</w:t>
      </w:r>
      <w:r w:rsidRPr="004E62AC">
        <w:rPr>
          <w:sz w:val="18"/>
          <w:szCs w:val="18"/>
          <w:lang w:val="pl-PL"/>
        </w:rPr>
        <w:t xml:space="preserve"> Liber, Ch</w:t>
      </w:r>
      <w:r w:rsidRPr="00F41F3B">
        <w:rPr>
          <w:sz w:val="18"/>
          <w:szCs w:val="18"/>
          <w:lang w:val="pl-PL"/>
        </w:rPr>
        <w:t>arakterystyka populacji chorych</w:t>
      </w:r>
      <w:r>
        <w:rPr>
          <w:sz w:val="18"/>
          <w:szCs w:val="18"/>
          <w:lang w:val="pl-PL"/>
        </w:rPr>
        <w:t xml:space="preserve"> </w:t>
      </w:r>
      <w:r w:rsidRPr="004E62AC">
        <w:rPr>
          <w:sz w:val="18"/>
          <w:szCs w:val="18"/>
          <w:lang w:val="pl-PL"/>
        </w:rPr>
        <w:t xml:space="preserve">hemodializowanych w ośrodkach </w:t>
      </w:r>
      <w:proofErr w:type="spellStart"/>
      <w:r w:rsidRPr="004E62AC">
        <w:rPr>
          <w:sz w:val="18"/>
          <w:szCs w:val="18"/>
          <w:lang w:val="pl-PL"/>
        </w:rPr>
        <w:t>Fresenius</w:t>
      </w:r>
      <w:proofErr w:type="spellEnd"/>
      <w:r w:rsidRPr="004E62AC">
        <w:rPr>
          <w:sz w:val="18"/>
          <w:szCs w:val="18"/>
          <w:lang w:val="pl-PL"/>
        </w:rPr>
        <w:t xml:space="preserve"> </w:t>
      </w:r>
      <w:proofErr w:type="spellStart"/>
      <w:r w:rsidRPr="004E62AC">
        <w:rPr>
          <w:sz w:val="18"/>
          <w:szCs w:val="18"/>
          <w:lang w:val="pl-PL"/>
        </w:rPr>
        <w:t>NephroCare</w:t>
      </w:r>
      <w:proofErr w:type="spellEnd"/>
      <w:r w:rsidRPr="004E62AC">
        <w:rPr>
          <w:sz w:val="18"/>
          <w:szCs w:val="18"/>
          <w:lang w:val="pl-PL"/>
        </w:rPr>
        <w:t xml:space="preserve"> Polska, Forum Nefrologiczne 2016, tom 9, nr 4, 272–277</w:t>
      </w:r>
    </w:p>
    <w:p w14:paraId="7CBA5F24" w14:textId="77777777" w:rsidR="00ED18CD" w:rsidRPr="00B979E4" w:rsidRDefault="00AF662F">
      <w:pPr>
        <w:pStyle w:val="EYHeading3"/>
        <w:rPr>
          <w:lang w:val="pl-PL"/>
        </w:rPr>
      </w:pPr>
      <w:bookmarkStart w:id="128" w:name="_Toc477444356"/>
      <w:bookmarkStart w:id="129" w:name="_Toc477446981"/>
      <w:bookmarkStart w:id="130" w:name="_Toc477547894"/>
      <w:bookmarkStart w:id="131" w:name="_Toc477550137"/>
      <w:bookmarkStart w:id="132" w:name="_Toc477551042"/>
      <w:bookmarkStart w:id="133" w:name="_Toc477551202"/>
      <w:bookmarkStart w:id="134" w:name="_Toc477551356"/>
      <w:bookmarkStart w:id="135" w:name="_Toc477551494"/>
      <w:bookmarkStart w:id="136" w:name="_Toc477553514"/>
      <w:bookmarkStart w:id="137" w:name="_Toc477869004"/>
      <w:bookmarkStart w:id="138" w:name="_Toc477900953"/>
      <w:bookmarkStart w:id="139" w:name="_Toc477950226"/>
      <w:bookmarkStart w:id="140" w:name="_Toc477951206"/>
      <w:bookmarkStart w:id="141" w:name="_Toc477951344"/>
      <w:bookmarkStart w:id="142" w:name="_Toc477951482"/>
      <w:bookmarkStart w:id="143" w:name="_Toc477444357"/>
      <w:bookmarkStart w:id="144" w:name="_Toc477446982"/>
      <w:bookmarkStart w:id="145" w:name="_Toc477547895"/>
      <w:bookmarkStart w:id="146" w:name="_Toc477550138"/>
      <w:bookmarkStart w:id="147" w:name="_Toc477551043"/>
      <w:bookmarkStart w:id="148" w:name="_Toc477551203"/>
      <w:bookmarkStart w:id="149" w:name="_Toc477551357"/>
      <w:bookmarkStart w:id="150" w:name="_Toc477551495"/>
      <w:bookmarkStart w:id="151" w:name="_Toc477553515"/>
      <w:bookmarkStart w:id="152" w:name="_Toc477869005"/>
      <w:bookmarkStart w:id="153" w:name="_Toc477900954"/>
      <w:bookmarkStart w:id="154" w:name="_Toc477950227"/>
      <w:bookmarkStart w:id="155" w:name="_Toc477951207"/>
      <w:bookmarkStart w:id="156" w:name="_Toc477951345"/>
      <w:bookmarkStart w:id="157" w:name="_Toc477951483"/>
      <w:bookmarkStart w:id="158" w:name="_Toc477444358"/>
      <w:bookmarkStart w:id="159" w:name="_Toc477446983"/>
      <w:bookmarkStart w:id="160" w:name="_Toc477547896"/>
      <w:bookmarkStart w:id="161" w:name="_Toc477550139"/>
      <w:bookmarkStart w:id="162" w:name="_Toc477551044"/>
      <w:bookmarkStart w:id="163" w:name="_Toc477551204"/>
      <w:bookmarkStart w:id="164" w:name="_Toc477551358"/>
      <w:bookmarkStart w:id="165" w:name="_Toc477551496"/>
      <w:bookmarkStart w:id="166" w:name="_Toc477553516"/>
      <w:bookmarkStart w:id="167" w:name="_Toc477869006"/>
      <w:bookmarkStart w:id="168" w:name="_Toc477900955"/>
      <w:bookmarkStart w:id="169" w:name="_Toc477950228"/>
      <w:bookmarkStart w:id="170" w:name="_Toc477951208"/>
      <w:bookmarkStart w:id="171" w:name="_Toc477951346"/>
      <w:bookmarkStart w:id="172" w:name="_Toc477951484"/>
      <w:bookmarkStart w:id="173" w:name="_Toc477444359"/>
      <w:bookmarkStart w:id="174" w:name="_Toc477446984"/>
      <w:bookmarkStart w:id="175" w:name="_Toc477547897"/>
      <w:bookmarkStart w:id="176" w:name="_Toc477550140"/>
      <w:bookmarkStart w:id="177" w:name="_Toc477551045"/>
      <w:bookmarkStart w:id="178" w:name="_Toc477551205"/>
      <w:bookmarkStart w:id="179" w:name="_Toc477551359"/>
      <w:bookmarkStart w:id="180" w:name="_Toc477551497"/>
      <w:bookmarkStart w:id="181" w:name="_Toc477553517"/>
      <w:bookmarkStart w:id="182" w:name="_Toc477869007"/>
      <w:bookmarkStart w:id="183" w:name="_Toc477900956"/>
      <w:bookmarkStart w:id="184" w:name="_Toc477950229"/>
      <w:bookmarkStart w:id="185" w:name="_Toc477951209"/>
      <w:bookmarkStart w:id="186" w:name="_Toc477951347"/>
      <w:bookmarkStart w:id="187" w:name="_Toc477951485"/>
      <w:bookmarkStart w:id="188" w:name="_Toc477444361"/>
      <w:bookmarkStart w:id="189" w:name="_Toc477446986"/>
      <w:bookmarkStart w:id="190" w:name="_Toc477547899"/>
      <w:bookmarkStart w:id="191" w:name="_Toc477550142"/>
      <w:bookmarkStart w:id="192" w:name="_Toc477551047"/>
      <w:bookmarkStart w:id="193" w:name="_Toc477551207"/>
      <w:bookmarkStart w:id="194" w:name="_Toc477551361"/>
      <w:bookmarkStart w:id="195" w:name="_Toc477551499"/>
      <w:bookmarkStart w:id="196" w:name="_Toc477553519"/>
      <w:bookmarkStart w:id="197" w:name="_Toc477869009"/>
      <w:bookmarkStart w:id="198" w:name="_Toc477900958"/>
      <w:bookmarkStart w:id="199" w:name="_Toc477950231"/>
      <w:bookmarkStart w:id="200" w:name="_Toc477951211"/>
      <w:bookmarkStart w:id="201" w:name="_Toc477951349"/>
      <w:bookmarkStart w:id="202" w:name="_Toc477951487"/>
      <w:bookmarkStart w:id="203" w:name="_Toc477444362"/>
      <w:bookmarkStart w:id="204" w:name="_Toc477446987"/>
      <w:bookmarkStart w:id="205" w:name="_Toc477547900"/>
      <w:bookmarkStart w:id="206" w:name="_Toc477550143"/>
      <w:bookmarkStart w:id="207" w:name="_Toc477551048"/>
      <w:bookmarkStart w:id="208" w:name="_Toc477551208"/>
      <w:bookmarkStart w:id="209" w:name="_Toc477551362"/>
      <w:bookmarkStart w:id="210" w:name="_Toc477551500"/>
      <w:bookmarkStart w:id="211" w:name="_Toc477553520"/>
      <w:bookmarkStart w:id="212" w:name="_Toc477869010"/>
      <w:bookmarkStart w:id="213" w:name="_Toc477900959"/>
      <w:bookmarkStart w:id="214" w:name="_Toc477950232"/>
      <w:bookmarkStart w:id="215" w:name="_Toc477951212"/>
      <w:bookmarkStart w:id="216" w:name="_Toc477951350"/>
      <w:bookmarkStart w:id="217" w:name="_Toc477951488"/>
      <w:bookmarkStart w:id="218" w:name="_Toc477444363"/>
      <w:bookmarkStart w:id="219" w:name="_Toc477446988"/>
      <w:bookmarkStart w:id="220" w:name="_Toc477547901"/>
      <w:bookmarkStart w:id="221" w:name="_Toc477550144"/>
      <w:bookmarkStart w:id="222" w:name="_Toc477551049"/>
      <w:bookmarkStart w:id="223" w:name="_Toc477551209"/>
      <w:bookmarkStart w:id="224" w:name="_Toc477551363"/>
      <w:bookmarkStart w:id="225" w:name="_Toc477551501"/>
      <w:bookmarkStart w:id="226" w:name="_Toc477553521"/>
      <w:bookmarkStart w:id="227" w:name="_Toc477869011"/>
      <w:bookmarkStart w:id="228" w:name="_Toc477900960"/>
      <w:bookmarkStart w:id="229" w:name="_Toc477950233"/>
      <w:bookmarkStart w:id="230" w:name="_Toc477951213"/>
      <w:bookmarkStart w:id="231" w:name="_Toc477951351"/>
      <w:bookmarkStart w:id="232" w:name="_Toc477951489"/>
      <w:bookmarkStart w:id="233" w:name="_Toc477444364"/>
      <w:bookmarkStart w:id="234" w:name="_Toc477446989"/>
      <w:bookmarkStart w:id="235" w:name="_Toc477547902"/>
      <w:bookmarkStart w:id="236" w:name="_Toc477550145"/>
      <w:bookmarkStart w:id="237" w:name="_Toc477551050"/>
      <w:bookmarkStart w:id="238" w:name="_Toc477551210"/>
      <w:bookmarkStart w:id="239" w:name="_Toc477551364"/>
      <w:bookmarkStart w:id="240" w:name="_Toc477551502"/>
      <w:bookmarkStart w:id="241" w:name="_Toc477553522"/>
      <w:bookmarkStart w:id="242" w:name="_Toc477869012"/>
      <w:bookmarkStart w:id="243" w:name="_Toc477900961"/>
      <w:bookmarkStart w:id="244" w:name="_Toc477950234"/>
      <w:bookmarkStart w:id="245" w:name="_Toc477951214"/>
      <w:bookmarkStart w:id="246" w:name="_Toc477951352"/>
      <w:bookmarkStart w:id="247" w:name="_Toc477951490"/>
      <w:bookmarkStart w:id="248" w:name="_Toc477444365"/>
      <w:bookmarkStart w:id="249" w:name="_Toc477446990"/>
      <w:bookmarkStart w:id="250" w:name="_Toc477547903"/>
      <w:bookmarkStart w:id="251" w:name="_Toc477550146"/>
      <w:bookmarkStart w:id="252" w:name="_Toc477551051"/>
      <w:bookmarkStart w:id="253" w:name="_Toc477551211"/>
      <w:bookmarkStart w:id="254" w:name="_Toc477551365"/>
      <w:bookmarkStart w:id="255" w:name="_Toc477551503"/>
      <w:bookmarkStart w:id="256" w:name="_Toc477553523"/>
      <w:bookmarkStart w:id="257" w:name="_Toc477869013"/>
      <w:bookmarkStart w:id="258" w:name="_Toc477900962"/>
      <w:bookmarkStart w:id="259" w:name="_Toc477950235"/>
      <w:bookmarkStart w:id="260" w:name="_Toc477951215"/>
      <w:bookmarkStart w:id="261" w:name="_Toc477951353"/>
      <w:bookmarkStart w:id="262" w:name="_Toc477951491"/>
      <w:bookmarkStart w:id="263" w:name="_Toc48653794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eastAsia="Calibri"/>
          <w:sz w:val="22"/>
          <w:lang w:val="pl-PL"/>
        </w:rPr>
        <w:t>Proces koordynacji w ujęciu decyzyjnym i finansowym</w:t>
      </w:r>
      <w:bookmarkEnd w:id="263"/>
    </w:p>
    <w:p w14:paraId="62F18A59" w14:textId="32530024" w:rsidR="005B66E7" w:rsidRDefault="00C23692" w:rsidP="00C23692">
      <w:pPr>
        <w:rPr>
          <w:lang w:val="pl-PL"/>
        </w:rPr>
      </w:pPr>
      <w:r>
        <w:rPr>
          <w:lang w:val="pl-PL"/>
        </w:rPr>
        <w:t>W proponowanym modelu</w:t>
      </w:r>
      <w:r w:rsidR="001F59BB">
        <w:rPr>
          <w:lang w:val="pl-PL"/>
        </w:rPr>
        <w:t xml:space="preserve"> koordynacji</w:t>
      </w:r>
      <w:r>
        <w:rPr>
          <w:lang w:val="pl-PL"/>
        </w:rPr>
        <w:t xml:space="preserve"> pacjent w zaawansowanym stadium </w:t>
      </w:r>
      <w:proofErr w:type="spellStart"/>
      <w:r>
        <w:rPr>
          <w:lang w:val="pl-PL"/>
        </w:rPr>
        <w:t>PChN</w:t>
      </w:r>
      <w:proofErr w:type="spellEnd"/>
      <w:r>
        <w:rPr>
          <w:lang w:val="pl-PL"/>
        </w:rPr>
        <w:t xml:space="preserve"> trafia pod opiekę dedykowanego zespołu w jednostce organizacyjnej pełniącej rolę koordynatora. W zależności od stanu zdrowia podejmowana jest decyzja o kontynuacji leczenia zachowawczego w zakresie hamowania progresji choroby bądź o przygotowaniu do leczenia nerkozastępczego. Pacjent jest edukowany w zakresie możliwych opcji leczenia i wstępnie </w:t>
      </w:r>
      <w:r w:rsidR="00B6627A">
        <w:rPr>
          <w:lang w:val="pl-PL"/>
        </w:rPr>
        <w:t>weryfikowany w zakresie możliwości przeprowadzenia</w:t>
      </w:r>
      <w:r>
        <w:rPr>
          <w:lang w:val="pl-PL"/>
        </w:rPr>
        <w:t xml:space="preserve"> transplantacji wyprzedzającej. Za zgodą pacjenta i w przypadku braku bezwzględnych przeciwskazań do transplantacji, dalsze badania dotyczące oceny możliwości zgłoszenia pacjenta </w:t>
      </w:r>
      <w:r w:rsidR="00452B87">
        <w:rPr>
          <w:lang w:val="pl-PL"/>
        </w:rPr>
        <w:t xml:space="preserve">do </w:t>
      </w:r>
      <w:r>
        <w:rPr>
          <w:lang w:val="pl-PL"/>
        </w:rPr>
        <w:t>przeszczep</w:t>
      </w:r>
      <w:r w:rsidR="00452B87">
        <w:rPr>
          <w:lang w:val="pl-PL"/>
        </w:rPr>
        <w:t>u</w:t>
      </w:r>
      <w:r>
        <w:rPr>
          <w:lang w:val="pl-PL"/>
        </w:rPr>
        <w:t xml:space="preserve"> oraz </w:t>
      </w:r>
      <w:r w:rsidR="005B66E7">
        <w:rPr>
          <w:lang w:val="pl-PL"/>
        </w:rPr>
        <w:t xml:space="preserve">przekazanie </w:t>
      </w:r>
      <w:r>
        <w:rPr>
          <w:lang w:val="pl-PL"/>
        </w:rPr>
        <w:t>zgłoszeni</w:t>
      </w:r>
      <w:r w:rsidR="005B66E7">
        <w:rPr>
          <w:lang w:val="pl-PL"/>
        </w:rPr>
        <w:t>a</w:t>
      </w:r>
      <w:r>
        <w:rPr>
          <w:lang w:val="pl-PL"/>
        </w:rPr>
        <w:t xml:space="preserve"> pacjenta do Krajowej Listy Oczekujących na Przeszczepienie są w zakresie odpowiedzialności jednostki koordynującej. </w:t>
      </w:r>
      <w:r w:rsidR="005B66E7">
        <w:rPr>
          <w:lang w:val="pl-PL"/>
        </w:rPr>
        <w:t>W szczególności jednostka koordynująca powinna odpowiadać za:</w:t>
      </w:r>
    </w:p>
    <w:p w14:paraId="02920D66" w14:textId="77777777" w:rsidR="005B66E7" w:rsidRPr="00835025" w:rsidRDefault="005B66E7" w:rsidP="00835025">
      <w:pPr>
        <w:pStyle w:val="EYBulletedList1"/>
        <w:numPr>
          <w:ilvl w:val="1"/>
          <w:numId w:val="11"/>
        </w:numPr>
        <w:jc w:val="both"/>
        <w:rPr>
          <w:rFonts w:eastAsia="Calibri"/>
          <w:lang w:val="pl-PL"/>
        </w:rPr>
      </w:pPr>
      <w:r w:rsidRPr="00835025">
        <w:rPr>
          <w:rFonts w:eastAsia="Calibri"/>
          <w:sz w:val="22"/>
          <w:lang w:val="pl-PL"/>
        </w:rPr>
        <w:t xml:space="preserve">przeprowadzenie badań wymaganych do zgłoszenia do kwalifikacji, </w:t>
      </w:r>
    </w:p>
    <w:p w14:paraId="25A8A337" w14:textId="77777777" w:rsidR="005B66E7" w:rsidRPr="00835025" w:rsidRDefault="005B66E7" w:rsidP="00835025">
      <w:pPr>
        <w:pStyle w:val="EYBulletedList1"/>
        <w:numPr>
          <w:ilvl w:val="1"/>
          <w:numId w:val="11"/>
        </w:numPr>
        <w:jc w:val="both"/>
        <w:rPr>
          <w:rFonts w:eastAsia="Calibri"/>
          <w:lang w:val="pl-PL"/>
        </w:rPr>
      </w:pPr>
      <w:r w:rsidRPr="00835025">
        <w:rPr>
          <w:rFonts w:eastAsia="Calibri"/>
          <w:sz w:val="22"/>
          <w:lang w:val="pl-PL"/>
        </w:rPr>
        <w:t xml:space="preserve">zebranie wyników, </w:t>
      </w:r>
    </w:p>
    <w:p w14:paraId="4978C8FD" w14:textId="1A751808" w:rsidR="005B66E7" w:rsidRPr="00835025" w:rsidRDefault="005B66E7" w:rsidP="00835025">
      <w:pPr>
        <w:pStyle w:val="EYBulletedList1"/>
        <w:numPr>
          <w:ilvl w:val="1"/>
          <w:numId w:val="11"/>
        </w:numPr>
        <w:jc w:val="both"/>
        <w:rPr>
          <w:rFonts w:eastAsia="Calibri"/>
          <w:lang w:val="pl-PL"/>
        </w:rPr>
      </w:pPr>
      <w:r w:rsidRPr="00835025">
        <w:rPr>
          <w:rFonts w:eastAsia="Calibri"/>
          <w:sz w:val="22"/>
          <w:lang w:val="pl-PL"/>
        </w:rPr>
        <w:t>weryfikację kompletności badań i monitorowania statusu kompletności</w:t>
      </w:r>
      <w:r>
        <w:rPr>
          <w:rFonts w:eastAsia="Calibri"/>
          <w:sz w:val="22"/>
          <w:lang w:val="pl-PL"/>
        </w:rPr>
        <w:t>,</w:t>
      </w:r>
    </w:p>
    <w:p w14:paraId="14E0EA4E" w14:textId="7F89BB96" w:rsidR="00C23692" w:rsidRDefault="005B66E7" w:rsidP="00C23692">
      <w:pPr>
        <w:rPr>
          <w:lang w:val="pl-PL"/>
        </w:rPr>
      </w:pPr>
      <w:r w:rsidRPr="005B66E7">
        <w:rPr>
          <w:lang w:val="pl-PL"/>
        </w:rPr>
        <w:t>czyli zarządzenie i koordynowanie proc</w:t>
      </w:r>
      <w:r>
        <w:rPr>
          <w:lang w:val="pl-PL"/>
        </w:rPr>
        <w:t xml:space="preserve">esu przygotowania do zgłoszenia. </w:t>
      </w:r>
      <w:r w:rsidR="00C23692">
        <w:rPr>
          <w:lang w:val="pl-PL"/>
        </w:rPr>
        <w:t>W przypadku braku możliwości transplantacji wyprzedzającej, zostaje podjęta decyzja o leczeniu dializoterapią i zlecone wytworzenie dostępu otrzewnowego bądź naczyniowego ze środków finansowych, którymi dysponuje jednostka koordynująca. Po wytworzeniu dostępu pacjent rozpoczyna dializoterapię i tym samym wchodzi w rytm czynności wykonywanych cyklicznie i powtarzalnie, takich jak</w:t>
      </w:r>
      <w:r w:rsidR="00BE67F1">
        <w:rPr>
          <w:lang w:val="pl-PL"/>
        </w:rPr>
        <w:t xml:space="preserve"> </w:t>
      </w:r>
      <w:r w:rsidR="00452B87">
        <w:rPr>
          <w:lang w:val="pl-PL"/>
        </w:rPr>
        <w:t xml:space="preserve">utrzymanie dostępu do dializy, leczenie powikłań, </w:t>
      </w:r>
      <w:r w:rsidR="00C23692">
        <w:rPr>
          <w:lang w:val="pl-PL"/>
        </w:rPr>
        <w:t xml:space="preserve">monitorowanie stanu zdrowia, wizyty kontrolne czy </w:t>
      </w:r>
      <w:r w:rsidR="00DC5BCD">
        <w:rPr>
          <w:lang w:val="pl-PL"/>
        </w:rPr>
        <w:t>przygotowanie do zgłoszenia d</w:t>
      </w:r>
      <w:r w:rsidR="00C23692">
        <w:rPr>
          <w:lang w:val="pl-PL"/>
        </w:rPr>
        <w:t xml:space="preserve">o przeszczepienia. Wyłączenie z obiegu czynności cyklicznych ma miejsce w przypadku zakwalifikowania do transplantacji nerki bądź w przypadku występowania powikłań </w:t>
      </w:r>
      <w:r w:rsidR="00C12995">
        <w:rPr>
          <w:lang w:val="pl-PL"/>
        </w:rPr>
        <w:t xml:space="preserve">niezwiązanych z powikłaniami dostępów </w:t>
      </w:r>
      <w:r w:rsidR="00C23692">
        <w:rPr>
          <w:lang w:val="pl-PL"/>
        </w:rPr>
        <w:t>– w obu przypadkach pacjent zostaje przekazany pod opiekę szpitala dysponującego środkami finansowymi na świadczenia gwarantowane ze środków publicznych w rodzaju leczenie szpitalne.</w:t>
      </w:r>
      <w:r w:rsidR="001F59BB">
        <w:rPr>
          <w:lang w:val="pl-PL"/>
        </w:rPr>
        <w:t xml:space="preserve"> Rola opieki szpitalnej polega przede wszystkim na leczeniu cięższych powikłań </w:t>
      </w:r>
      <w:proofErr w:type="spellStart"/>
      <w:r w:rsidR="001F59BB">
        <w:rPr>
          <w:lang w:val="pl-PL"/>
        </w:rPr>
        <w:t>PChN</w:t>
      </w:r>
      <w:proofErr w:type="spellEnd"/>
      <w:r w:rsidR="00C12995">
        <w:rPr>
          <w:lang w:val="pl-PL"/>
        </w:rPr>
        <w:t xml:space="preserve"> oraz chorób współistniejących</w:t>
      </w:r>
      <w:r w:rsidR="001F59BB">
        <w:rPr>
          <w:lang w:val="pl-PL"/>
        </w:rPr>
        <w:t>.</w:t>
      </w:r>
      <w:r w:rsidR="00C23692">
        <w:rPr>
          <w:lang w:val="pl-PL"/>
        </w:rPr>
        <w:t xml:space="preserve"> Proces leczenia jest wspierany i uzupełniony poradami dietetycznymi</w:t>
      </w:r>
      <w:r w:rsidR="00BE67F1">
        <w:rPr>
          <w:lang w:val="pl-PL"/>
        </w:rPr>
        <w:t xml:space="preserve">, </w:t>
      </w:r>
      <w:r w:rsidR="00C23692">
        <w:rPr>
          <w:lang w:val="pl-PL"/>
        </w:rPr>
        <w:t>poradami psychologa</w:t>
      </w:r>
      <w:r w:rsidR="00BE67F1">
        <w:rPr>
          <w:lang w:val="pl-PL"/>
        </w:rPr>
        <w:t xml:space="preserve"> i zabiegami fizjoterapeutycznymi</w:t>
      </w:r>
      <w:r w:rsidR="00C23692">
        <w:rPr>
          <w:lang w:val="pl-PL"/>
        </w:rPr>
        <w:t>, które jednostka koordynująca „wykupuje” zgodnie z zapotrzebowaniem konkretnego pacjenta.</w:t>
      </w:r>
    </w:p>
    <w:p w14:paraId="1389807D" w14:textId="18AFDA75" w:rsidR="00C23692" w:rsidRDefault="00C23692" w:rsidP="00C23692">
      <w:pPr>
        <w:rPr>
          <w:lang w:val="pl-PL"/>
        </w:rPr>
      </w:pPr>
      <w:r>
        <w:rPr>
          <w:lang w:val="pl-PL"/>
        </w:rPr>
        <w:t xml:space="preserve">Proces leczenia, który skupia niemalże </w:t>
      </w:r>
      <w:r w:rsidRPr="001F59BB">
        <w:rPr>
          <w:szCs w:val="22"/>
          <w:lang w:val="pl-PL"/>
        </w:rPr>
        <w:t>całościową opiekę</w:t>
      </w:r>
      <w:r>
        <w:rPr>
          <w:lang w:val="pl-PL"/>
        </w:rPr>
        <w:t xml:space="preserve"> nad pacjentem z </w:t>
      </w:r>
      <w:proofErr w:type="spellStart"/>
      <w:r>
        <w:rPr>
          <w:lang w:val="pl-PL"/>
        </w:rPr>
        <w:t>PChN</w:t>
      </w:r>
      <w:proofErr w:type="spellEnd"/>
      <w:r>
        <w:rPr>
          <w:lang w:val="pl-PL"/>
        </w:rPr>
        <w:t xml:space="preserve"> poprzez przekazanie odpowiedzialności</w:t>
      </w:r>
      <w:r w:rsidR="00BE67F1">
        <w:rPr>
          <w:lang w:val="pl-PL"/>
        </w:rPr>
        <w:t xml:space="preserve"> jednostkom koordynującym</w:t>
      </w:r>
      <w:r w:rsidR="005167E1">
        <w:rPr>
          <w:lang w:val="pl-PL"/>
        </w:rPr>
        <w:t>,</w:t>
      </w:r>
      <w:r w:rsidR="00BE67F1">
        <w:rPr>
          <w:lang w:val="pl-PL"/>
        </w:rPr>
        <w:t xml:space="preserve"> </w:t>
      </w:r>
      <w:r w:rsidR="005167E1">
        <w:rPr>
          <w:lang w:val="pl-PL"/>
        </w:rPr>
        <w:t>również w zakresie</w:t>
      </w:r>
      <w:r>
        <w:rPr>
          <w:lang w:val="pl-PL"/>
        </w:rPr>
        <w:t xml:space="preserve"> finansowania</w:t>
      </w:r>
      <w:r w:rsidR="005167E1">
        <w:rPr>
          <w:lang w:val="pl-PL"/>
        </w:rPr>
        <w:t>,</w:t>
      </w:r>
      <w:r w:rsidR="00751656">
        <w:rPr>
          <w:lang w:val="pl-PL"/>
        </w:rPr>
        <w:t xml:space="preserve"> </w:t>
      </w:r>
      <w:r>
        <w:rPr>
          <w:lang w:val="pl-PL"/>
        </w:rPr>
        <w:t xml:space="preserve">umożliwi </w:t>
      </w:r>
      <w:r w:rsidR="00751656">
        <w:rPr>
          <w:lang w:val="pl-PL"/>
        </w:rPr>
        <w:t xml:space="preserve">zarządzanie procesem leczenia, a także monitorowanie </w:t>
      </w:r>
      <w:r w:rsidR="005167E1">
        <w:rPr>
          <w:lang w:val="pl-PL"/>
        </w:rPr>
        <w:t xml:space="preserve">i egzekwowanie </w:t>
      </w:r>
      <w:r w:rsidR="00751656">
        <w:rPr>
          <w:lang w:val="pl-PL"/>
        </w:rPr>
        <w:t>wyników.</w:t>
      </w:r>
    </w:p>
    <w:p w14:paraId="1D130032" w14:textId="7005A949" w:rsidR="00C23692" w:rsidRDefault="00C23692" w:rsidP="00C23692">
      <w:pPr>
        <w:rPr>
          <w:lang w:val="pl-PL"/>
        </w:rPr>
      </w:pPr>
      <w:r>
        <w:rPr>
          <w:lang w:val="pl-PL"/>
        </w:rPr>
        <w:t>Ścieżkę pacjenta w jednostce koordynującej w propo</w:t>
      </w:r>
      <w:r w:rsidRPr="00B16592">
        <w:rPr>
          <w:lang w:val="pl-PL"/>
        </w:rPr>
        <w:t>nowan</w:t>
      </w:r>
      <w:r>
        <w:rPr>
          <w:lang w:val="pl-PL"/>
        </w:rPr>
        <w:t>ym</w:t>
      </w:r>
      <w:r w:rsidRPr="00B16592">
        <w:rPr>
          <w:lang w:val="pl-PL"/>
        </w:rPr>
        <w:t xml:space="preserve"> modelu opieki nad pacjentem w zaawansowanym stadium </w:t>
      </w:r>
      <w:proofErr w:type="spellStart"/>
      <w:r w:rsidRPr="00B16592">
        <w:rPr>
          <w:lang w:val="pl-PL"/>
        </w:rPr>
        <w:t>PChN</w:t>
      </w:r>
      <w:proofErr w:type="spellEnd"/>
      <w:r w:rsidRPr="00B16592">
        <w:rPr>
          <w:lang w:val="pl-PL"/>
        </w:rPr>
        <w:t xml:space="preserve"> w ujęciu proces</w:t>
      </w:r>
      <w:r>
        <w:rPr>
          <w:lang w:val="pl-PL"/>
        </w:rPr>
        <w:t xml:space="preserve">owym i decyzyjnym zaprezentowano na rysunku </w:t>
      </w:r>
      <w:r w:rsidR="001E35A3">
        <w:rPr>
          <w:lang w:val="pl-PL"/>
        </w:rPr>
        <w:t>7</w:t>
      </w:r>
      <w:r>
        <w:rPr>
          <w:lang w:val="pl-PL"/>
        </w:rPr>
        <w:t xml:space="preserve">. </w:t>
      </w:r>
    </w:p>
    <w:p w14:paraId="7CFB4E42" w14:textId="77777777" w:rsidR="00C23692" w:rsidRDefault="00C23692" w:rsidP="00ED18CD">
      <w:pPr>
        <w:rPr>
          <w:lang w:val="pl-PL"/>
        </w:rPr>
      </w:pPr>
    </w:p>
    <w:p w14:paraId="4FF640D9" w14:textId="77777777" w:rsidR="00022E3D" w:rsidRDefault="00022E3D">
      <w:pPr>
        <w:widowControl/>
        <w:autoSpaceDE/>
        <w:autoSpaceDN/>
        <w:adjustRightInd/>
        <w:spacing w:before="0" w:after="0" w:line="240" w:lineRule="auto"/>
        <w:jc w:val="left"/>
        <w:rPr>
          <w:b/>
          <w:iCs/>
          <w:sz w:val="18"/>
          <w:szCs w:val="18"/>
          <w:lang w:val="pl-PL"/>
        </w:rPr>
      </w:pPr>
      <w:r>
        <w:rPr>
          <w:b/>
          <w:i/>
          <w:lang w:val="pl-PL"/>
        </w:rPr>
        <w:br w:type="page"/>
      </w:r>
    </w:p>
    <w:p w14:paraId="35229CE0" w14:textId="337CCC14" w:rsidR="00725B58" w:rsidRPr="007F20C3" w:rsidRDefault="00725B58" w:rsidP="00725B58">
      <w:pPr>
        <w:pStyle w:val="Legenda"/>
        <w:keepNext/>
        <w:rPr>
          <w:b/>
          <w:i w:val="0"/>
          <w:color w:val="auto"/>
          <w:lang w:val="pl-PL"/>
        </w:rPr>
      </w:pPr>
      <w:bookmarkStart w:id="264" w:name="_Toc486537963"/>
      <w:r w:rsidRPr="007F20C3">
        <w:rPr>
          <w:b/>
          <w:i w:val="0"/>
          <w:color w:val="auto"/>
          <w:lang w:val="pl-PL"/>
        </w:rPr>
        <w:lastRenderedPageBreak/>
        <w:t xml:space="preserve">Rysunek </w:t>
      </w:r>
      <w:r w:rsidRPr="007F20C3">
        <w:rPr>
          <w:b/>
          <w:i w:val="0"/>
          <w:color w:val="auto"/>
        </w:rPr>
        <w:fldChar w:fldCharType="begin"/>
      </w:r>
      <w:r w:rsidRPr="007F20C3">
        <w:rPr>
          <w:b/>
          <w:i w:val="0"/>
          <w:color w:val="auto"/>
          <w:lang w:val="pl-PL"/>
        </w:rPr>
        <w:instrText xml:space="preserve"> SEQ Rysunek \* ARABIC </w:instrText>
      </w:r>
      <w:r w:rsidRPr="007F20C3">
        <w:rPr>
          <w:b/>
          <w:i w:val="0"/>
          <w:color w:val="auto"/>
        </w:rPr>
        <w:fldChar w:fldCharType="separate"/>
      </w:r>
      <w:r w:rsidR="005C7285">
        <w:rPr>
          <w:b/>
          <w:i w:val="0"/>
          <w:noProof/>
          <w:color w:val="auto"/>
          <w:lang w:val="pl-PL"/>
        </w:rPr>
        <w:t>7</w:t>
      </w:r>
      <w:r w:rsidRPr="007F20C3">
        <w:rPr>
          <w:b/>
          <w:i w:val="0"/>
          <w:color w:val="auto"/>
        </w:rPr>
        <w:fldChar w:fldCharType="end"/>
      </w:r>
      <w:r w:rsidRPr="007F20C3">
        <w:rPr>
          <w:b/>
          <w:i w:val="0"/>
          <w:color w:val="auto"/>
          <w:lang w:val="pl-PL"/>
        </w:rPr>
        <w:t xml:space="preserve"> </w:t>
      </w:r>
      <w:r w:rsidR="00AF662F">
        <w:rPr>
          <w:b/>
          <w:i w:val="0"/>
          <w:color w:val="auto"/>
          <w:lang w:val="pl-PL"/>
        </w:rPr>
        <w:t>Proces k</w:t>
      </w:r>
      <w:r w:rsidR="00B16592" w:rsidRPr="00B16592">
        <w:rPr>
          <w:b/>
          <w:i w:val="0"/>
          <w:color w:val="auto"/>
          <w:lang w:val="pl-PL"/>
        </w:rPr>
        <w:t>oordynacj</w:t>
      </w:r>
      <w:r w:rsidR="00AF662F">
        <w:rPr>
          <w:b/>
          <w:i w:val="0"/>
          <w:color w:val="auto"/>
          <w:lang w:val="pl-PL"/>
        </w:rPr>
        <w:t>i</w:t>
      </w:r>
      <w:r w:rsidR="00B16592" w:rsidRPr="00B16592">
        <w:rPr>
          <w:b/>
          <w:i w:val="0"/>
          <w:color w:val="auto"/>
          <w:lang w:val="pl-PL"/>
        </w:rPr>
        <w:t xml:space="preserve"> opieki nad pacjentem w zaawansowanym stadium </w:t>
      </w:r>
      <w:proofErr w:type="spellStart"/>
      <w:r w:rsidR="00B16592" w:rsidRPr="00B16592">
        <w:rPr>
          <w:b/>
          <w:i w:val="0"/>
          <w:color w:val="auto"/>
          <w:lang w:val="pl-PL"/>
        </w:rPr>
        <w:t>PChN</w:t>
      </w:r>
      <w:proofErr w:type="spellEnd"/>
      <w:r w:rsidR="00B16592" w:rsidRPr="00B16592">
        <w:rPr>
          <w:b/>
          <w:i w:val="0"/>
          <w:color w:val="auto"/>
          <w:lang w:val="pl-PL"/>
        </w:rPr>
        <w:t xml:space="preserve"> w ujęciu decyzyjnym</w:t>
      </w:r>
      <w:r w:rsidR="00B16592">
        <w:rPr>
          <w:b/>
          <w:i w:val="0"/>
          <w:color w:val="auto"/>
          <w:lang w:val="pl-PL"/>
        </w:rPr>
        <w:t xml:space="preserve"> </w:t>
      </w:r>
      <w:r w:rsidR="00AF662F">
        <w:rPr>
          <w:b/>
          <w:i w:val="0"/>
          <w:color w:val="auto"/>
          <w:lang w:val="pl-PL"/>
        </w:rPr>
        <w:t>i finansowym</w:t>
      </w:r>
      <w:bookmarkEnd w:id="264"/>
    </w:p>
    <w:p w14:paraId="0BE90143" w14:textId="4E801499" w:rsidR="00B16592" w:rsidRPr="00B16592" w:rsidRDefault="00C12995" w:rsidP="00B16592">
      <w:pPr>
        <w:rPr>
          <w:rFonts w:eastAsia="Calibri"/>
          <w:lang w:val="pl-PL"/>
        </w:rPr>
      </w:pPr>
      <w:r>
        <w:rPr>
          <w:rFonts w:eastAsia="Calibri"/>
          <w:noProof/>
          <w:lang w:val="pl-PL" w:eastAsia="pl-PL"/>
        </w:rPr>
        <w:drawing>
          <wp:inline distT="0" distB="0" distL="0" distR="0" wp14:anchorId="0A558FC5" wp14:editId="58FF78FE">
            <wp:extent cx="7768800" cy="4752000"/>
            <wp:effectExtent l="3492" t="0" r="7303" b="7302"/>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70419proces.PNG"/>
                    <pic:cNvPicPr/>
                  </pic:nvPicPr>
                  <pic:blipFill>
                    <a:blip r:embed="rId19">
                      <a:extLst>
                        <a:ext uri="{28A0092B-C50C-407E-A947-70E740481C1C}">
                          <a14:useLocalDpi xmlns:a14="http://schemas.microsoft.com/office/drawing/2010/main" val="0"/>
                        </a:ext>
                      </a:extLst>
                    </a:blip>
                    <a:stretch>
                      <a:fillRect/>
                    </a:stretch>
                  </pic:blipFill>
                  <pic:spPr>
                    <a:xfrm rot="16200000">
                      <a:off x="0" y="0"/>
                      <a:ext cx="7768800" cy="4752000"/>
                    </a:xfrm>
                    <a:prstGeom prst="rect">
                      <a:avLst/>
                    </a:prstGeom>
                  </pic:spPr>
                </pic:pic>
              </a:graphicData>
            </a:graphic>
          </wp:inline>
        </w:drawing>
      </w:r>
    </w:p>
    <w:p w14:paraId="04E2308C" w14:textId="77777777" w:rsidR="00725B58" w:rsidRDefault="00725B58" w:rsidP="00725B58">
      <w:pPr>
        <w:spacing w:before="0" w:after="0" w:line="240" w:lineRule="auto"/>
        <w:rPr>
          <w:rFonts w:eastAsia="Calibri"/>
          <w:sz w:val="18"/>
          <w:lang w:val="pl-PL"/>
        </w:rPr>
      </w:pPr>
      <w:r w:rsidRPr="007F20C3">
        <w:rPr>
          <w:rFonts w:eastAsia="Calibri"/>
          <w:sz w:val="18"/>
          <w:lang w:val="pl-PL"/>
        </w:rPr>
        <w:t>Źródło: Opracowanie własne EY</w:t>
      </w:r>
    </w:p>
    <w:p w14:paraId="746D3017" w14:textId="77777777" w:rsidR="007A247F" w:rsidRPr="004E62AC" w:rsidRDefault="007A247F" w:rsidP="004E62AC">
      <w:pPr>
        <w:rPr>
          <w:rFonts w:eastAsia="Calibri"/>
          <w:lang w:val="pl-PL"/>
        </w:rPr>
      </w:pPr>
      <w:bookmarkStart w:id="265" w:name="_Toc477550148"/>
      <w:bookmarkStart w:id="266" w:name="_Toc477551053"/>
      <w:bookmarkStart w:id="267" w:name="_Toc477551213"/>
      <w:bookmarkStart w:id="268" w:name="_Toc477550149"/>
      <w:bookmarkStart w:id="269" w:name="_Toc477551054"/>
      <w:bookmarkStart w:id="270" w:name="_Toc477551214"/>
      <w:bookmarkStart w:id="271" w:name="_Toc477551068"/>
      <w:bookmarkStart w:id="272" w:name="_Toc477551228"/>
      <w:bookmarkEnd w:id="265"/>
      <w:bookmarkEnd w:id="266"/>
      <w:bookmarkEnd w:id="267"/>
      <w:bookmarkEnd w:id="268"/>
      <w:bookmarkEnd w:id="269"/>
      <w:bookmarkEnd w:id="270"/>
      <w:bookmarkEnd w:id="271"/>
      <w:bookmarkEnd w:id="272"/>
    </w:p>
    <w:p w14:paraId="1BDADC44" w14:textId="77777777" w:rsidR="002A2DDD" w:rsidRPr="003B1DF0" w:rsidRDefault="002A2DDD" w:rsidP="00742D29">
      <w:pPr>
        <w:pStyle w:val="EYHeading2"/>
        <w:rPr>
          <w:rFonts w:eastAsia="Calibri"/>
          <w:color w:val="000000" w:themeColor="text1"/>
          <w:lang w:val="pl-PL"/>
        </w:rPr>
      </w:pPr>
      <w:bookmarkStart w:id="273" w:name="_Toc486537942"/>
      <w:r w:rsidRPr="003B1DF0">
        <w:rPr>
          <w:rFonts w:eastAsia="Calibri"/>
          <w:color w:val="000000" w:themeColor="text1"/>
          <w:lang w:val="pl-PL"/>
        </w:rPr>
        <w:lastRenderedPageBreak/>
        <w:t xml:space="preserve">Elementy wspierające </w:t>
      </w:r>
      <w:r w:rsidR="00742D29" w:rsidRPr="003B1DF0">
        <w:rPr>
          <w:rFonts w:eastAsia="Calibri"/>
          <w:color w:val="000000" w:themeColor="text1"/>
          <w:lang w:val="pl-PL"/>
        </w:rPr>
        <w:t>proponowany model</w:t>
      </w:r>
      <w:bookmarkEnd w:id="273"/>
    </w:p>
    <w:p w14:paraId="3640E48F" w14:textId="77777777" w:rsidR="00AF662F" w:rsidRDefault="00AF662F" w:rsidP="004E62AC">
      <w:pPr>
        <w:pStyle w:val="EYHeading3"/>
        <w:rPr>
          <w:rFonts w:eastAsia="Calibri"/>
          <w:lang w:val="pl-PL"/>
        </w:rPr>
      </w:pPr>
      <w:bookmarkStart w:id="274" w:name="_Toc486537943"/>
      <w:r>
        <w:rPr>
          <w:rFonts w:eastAsia="Calibri"/>
          <w:lang w:val="pl-PL"/>
        </w:rPr>
        <w:t>Komunikacja</w:t>
      </w:r>
      <w:r w:rsidRPr="00573981">
        <w:rPr>
          <w:rFonts w:eastAsia="Calibri"/>
          <w:lang w:val="pl-PL"/>
        </w:rPr>
        <w:t xml:space="preserve"> </w:t>
      </w:r>
      <w:r>
        <w:rPr>
          <w:rFonts w:eastAsia="Calibri"/>
          <w:lang w:val="pl-PL"/>
        </w:rPr>
        <w:t>i rejestr chorych</w:t>
      </w:r>
      <w:bookmarkEnd w:id="274"/>
    </w:p>
    <w:p w14:paraId="728D2334" w14:textId="77777777" w:rsidR="00426F0F" w:rsidRPr="003123D7" w:rsidRDefault="00426F0F" w:rsidP="003123D7">
      <w:pPr>
        <w:rPr>
          <w:rFonts w:eastAsia="Calibri"/>
          <w:color w:val="000000" w:themeColor="text1"/>
          <w:lang w:val="pl-PL"/>
        </w:rPr>
      </w:pPr>
      <w:r w:rsidRPr="003123D7">
        <w:rPr>
          <w:rFonts w:eastAsia="Calibri"/>
          <w:color w:val="000000" w:themeColor="text1"/>
          <w:lang w:val="pl-PL"/>
        </w:rPr>
        <w:t xml:space="preserve">Komunikacja pomiędzy poszczególnymi podmiotami zaangażowanymi w opiekę nad pacjentem z </w:t>
      </w:r>
      <w:proofErr w:type="spellStart"/>
      <w:r w:rsidR="003123D7">
        <w:rPr>
          <w:rFonts w:eastAsia="Calibri"/>
          <w:color w:val="000000" w:themeColor="text1"/>
          <w:lang w:val="pl-PL"/>
        </w:rPr>
        <w:t>PChN</w:t>
      </w:r>
      <w:proofErr w:type="spellEnd"/>
      <w:r w:rsidR="003123D7">
        <w:rPr>
          <w:rFonts w:eastAsia="Calibri"/>
          <w:color w:val="000000" w:themeColor="text1"/>
          <w:lang w:val="pl-PL"/>
        </w:rPr>
        <w:t xml:space="preserve"> </w:t>
      </w:r>
      <w:r w:rsidRPr="003123D7">
        <w:rPr>
          <w:rFonts w:eastAsia="Calibri"/>
          <w:color w:val="000000" w:themeColor="text1"/>
          <w:lang w:val="pl-PL"/>
        </w:rPr>
        <w:t xml:space="preserve">jest istotnym elementem, który </w:t>
      </w:r>
      <w:r w:rsidR="00262E3A" w:rsidRPr="003123D7">
        <w:rPr>
          <w:rFonts w:eastAsia="Calibri"/>
          <w:color w:val="000000" w:themeColor="text1"/>
          <w:lang w:val="pl-PL"/>
        </w:rPr>
        <w:t>może</w:t>
      </w:r>
      <w:r w:rsidRPr="003123D7">
        <w:rPr>
          <w:rFonts w:eastAsia="Calibri"/>
          <w:color w:val="000000" w:themeColor="text1"/>
          <w:lang w:val="pl-PL"/>
        </w:rPr>
        <w:t xml:space="preserve"> wspierać i determinować jakość koordynacji. Koordynator leczenia powinien mieć dostęp </w:t>
      </w:r>
      <w:r w:rsidR="001F59BB" w:rsidRPr="003123D7">
        <w:rPr>
          <w:rFonts w:eastAsia="Calibri"/>
          <w:color w:val="000000" w:themeColor="text1"/>
          <w:lang w:val="pl-PL"/>
        </w:rPr>
        <w:t xml:space="preserve">do danych o pacjencie, by </w:t>
      </w:r>
      <w:r w:rsidRPr="003123D7">
        <w:rPr>
          <w:rFonts w:eastAsia="Calibri"/>
          <w:color w:val="000000" w:themeColor="text1"/>
          <w:lang w:val="pl-PL"/>
        </w:rPr>
        <w:t xml:space="preserve">móc monitorować postępy leczenia i skuteczność wybranej terapii, a także w szybki sposób dzielić się informacjami na temat pacjenta ze wszystkimi </w:t>
      </w:r>
      <w:r w:rsidR="006E55ED" w:rsidRPr="003123D7">
        <w:rPr>
          <w:rFonts w:eastAsia="Calibri"/>
          <w:color w:val="000000" w:themeColor="text1"/>
          <w:lang w:val="pl-PL"/>
        </w:rPr>
        <w:t>świadczeniodawcami zaangażowanymi w proces leczenia</w:t>
      </w:r>
      <w:r w:rsidRPr="003123D7">
        <w:rPr>
          <w:rFonts w:eastAsia="Calibri"/>
          <w:color w:val="000000" w:themeColor="text1"/>
          <w:lang w:val="pl-PL"/>
        </w:rPr>
        <w:t xml:space="preserve">. </w:t>
      </w:r>
    </w:p>
    <w:p w14:paraId="2B8C7941" w14:textId="77777777" w:rsidR="00426F0F" w:rsidRDefault="00426F0F" w:rsidP="00FC22F7">
      <w:pPr>
        <w:rPr>
          <w:rFonts w:eastAsia="Calibri"/>
          <w:color w:val="000000" w:themeColor="text1"/>
          <w:lang w:val="pl-PL"/>
        </w:rPr>
      </w:pPr>
      <w:r>
        <w:rPr>
          <w:rFonts w:eastAsia="Calibri"/>
          <w:color w:val="000000" w:themeColor="text1"/>
          <w:lang w:val="pl-PL"/>
        </w:rPr>
        <w:t>Rejestr chorych jest narzędziem, które może pełnić istotną rolę w procesie komunikacji, a co za tym idzie</w:t>
      </w:r>
      <w:r w:rsidR="006E55ED">
        <w:rPr>
          <w:rFonts w:eastAsia="Calibri"/>
          <w:color w:val="000000" w:themeColor="text1"/>
          <w:lang w:val="pl-PL"/>
        </w:rPr>
        <w:t>,</w:t>
      </w:r>
      <w:r>
        <w:rPr>
          <w:rFonts w:eastAsia="Calibri"/>
          <w:color w:val="000000" w:themeColor="text1"/>
          <w:lang w:val="pl-PL"/>
        </w:rPr>
        <w:t xml:space="preserve"> </w:t>
      </w:r>
      <w:r w:rsidR="00262E3A">
        <w:rPr>
          <w:rFonts w:eastAsia="Calibri"/>
          <w:color w:val="000000" w:themeColor="text1"/>
          <w:lang w:val="pl-PL"/>
        </w:rPr>
        <w:t xml:space="preserve">w </w:t>
      </w:r>
      <w:r>
        <w:rPr>
          <w:rFonts w:eastAsia="Calibri"/>
          <w:color w:val="000000" w:themeColor="text1"/>
          <w:lang w:val="pl-PL"/>
        </w:rPr>
        <w:t>koordynacji leczenia.</w:t>
      </w:r>
    </w:p>
    <w:p w14:paraId="471473BA" w14:textId="77777777" w:rsidR="00D34D90" w:rsidRDefault="00D34D90" w:rsidP="00FC22F7">
      <w:pPr>
        <w:rPr>
          <w:rFonts w:eastAsia="Calibri"/>
          <w:lang w:val="pl-PL"/>
        </w:rPr>
      </w:pPr>
      <w:r>
        <w:rPr>
          <w:rFonts w:eastAsia="Calibri"/>
          <w:lang w:val="pl-PL"/>
        </w:rPr>
        <w:t>Na koniec stycznia 2017 r. Ministerstwo Zdrowia opublikowało p</w:t>
      </w:r>
      <w:r w:rsidR="00FC22F7" w:rsidRPr="00FC22F7">
        <w:rPr>
          <w:rFonts w:eastAsia="Calibri"/>
          <w:lang w:val="pl-PL"/>
        </w:rPr>
        <w:t>rojekt założeń do projektu ustawy o jakości w ochronie zdrowia i bezpieczeństwie pacjenta</w:t>
      </w:r>
      <w:r>
        <w:rPr>
          <w:rFonts w:eastAsia="Calibri"/>
          <w:lang w:val="pl-PL"/>
        </w:rPr>
        <w:t>. Projekt ten przewiduje między innymi</w:t>
      </w:r>
      <w:r w:rsidR="00C646A6" w:rsidRPr="00D04BA6">
        <w:rPr>
          <w:rStyle w:val="Odwoanieprzypisudolnego"/>
          <w:rFonts w:eastAsia="Calibri"/>
          <w:sz w:val="22"/>
          <w:lang w:val="pl-PL"/>
        </w:rPr>
        <w:footnoteReference w:id="71"/>
      </w:r>
      <w:r>
        <w:rPr>
          <w:rFonts w:eastAsia="Calibri"/>
          <w:lang w:val="pl-PL"/>
        </w:rPr>
        <w:t>:</w:t>
      </w:r>
    </w:p>
    <w:p w14:paraId="76A87A7D" w14:textId="77777777" w:rsidR="00FC22F7" w:rsidRPr="005E7B16" w:rsidRDefault="00FC22F7" w:rsidP="00F84B72">
      <w:pPr>
        <w:pStyle w:val="EYBulletedList1"/>
        <w:numPr>
          <w:ilvl w:val="0"/>
          <w:numId w:val="11"/>
        </w:numPr>
        <w:jc w:val="both"/>
        <w:rPr>
          <w:rFonts w:eastAsia="Calibri"/>
          <w:lang w:val="pl-PL"/>
        </w:rPr>
      </w:pPr>
      <w:r w:rsidRPr="004E62AC">
        <w:rPr>
          <w:rFonts w:eastAsia="Calibri"/>
          <w:sz w:val="22"/>
          <w:lang w:val="pl-PL"/>
        </w:rPr>
        <w:t>tworzenie i prowadzenie rejestrów medycznych,</w:t>
      </w:r>
    </w:p>
    <w:p w14:paraId="386FF809" w14:textId="77777777" w:rsidR="00FC22F7" w:rsidRPr="005E7B16" w:rsidRDefault="00FC22F7" w:rsidP="00F84B72">
      <w:pPr>
        <w:pStyle w:val="EYBulletedList1"/>
        <w:numPr>
          <w:ilvl w:val="0"/>
          <w:numId w:val="11"/>
        </w:numPr>
        <w:jc w:val="both"/>
        <w:rPr>
          <w:rFonts w:eastAsia="Calibri"/>
          <w:lang w:val="pl-PL"/>
        </w:rPr>
      </w:pPr>
      <w:r w:rsidRPr="004E62AC">
        <w:rPr>
          <w:rFonts w:eastAsia="Calibri"/>
          <w:sz w:val="22"/>
          <w:lang w:val="pl-PL"/>
        </w:rPr>
        <w:t xml:space="preserve">utworzenie Agencji do spraw Jakości Opieki Zdrowotnej i Bezpieczeństwa Pacjenta, która </w:t>
      </w:r>
      <w:r w:rsidR="00D34D90">
        <w:rPr>
          <w:rFonts w:eastAsia="Calibri"/>
          <w:sz w:val="22"/>
          <w:lang w:val="pl-PL"/>
        </w:rPr>
        <w:t xml:space="preserve">ma </w:t>
      </w:r>
      <w:r w:rsidRPr="004E62AC">
        <w:rPr>
          <w:rFonts w:eastAsia="Calibri"/>
          <w:sz w:val="22"/>
          <w:lang w:val="pl-PL"/>
        </w:rPr>
        <w:t>powst</w:t>
      </w:r>
      <w:r w:rsidR="00D34D90" w:rsidRPr="004E62AC">
        <w:rPr>
          <w:rFonts w:eastAsia="Calibri"/>
          <w:sz w:val="22"/>
          <w:lang w:val="pl-PL"/>
        </w:rPr>
        <w:t>ać</w:t>
      </w:r>
      <w:r w:rsidRPr="004E62AC">
        <w:rPr>
          <w:rFonts w:eastAsia="Calibri"/>
          <w:sz w:val="22"/>
          <w:lang w:val="pl-PL"/>
        </w:rPr>
        <w:t xml:space="preserve"> na bazie Centrum Monitorowania Jakości w Ochronie Zdrowia.</w:t>
      </w:r>
    </w:p>
    <w:p w14:paraId="3A8B3707" w14:textId="77777777" w:rsidR="00FC22F7" w:rsidRPr="00FC22F7" w:rsidRDefault="00D34D90" w:rsidP="00FC22F7">
      <w:pPr>
        <w:rPr>
          <w:rFonts w:eastAsia="Calibri"/>
          <w:lang w:val="pl-PL"/>
        </w:rPr>
      </w:pPr>
      <w:r>
        <w:rPr>
          <w:rFonts w:eastAsia="Calibri"/>
          <w:lang w:val="pl-PL"/>
        </w:rPr>
        <w:t>Celem tworzenia rejestrów ma być monitorowanie</w:t>
      </w:r>
      <w:r w:rsidR="00FC22F7" w:rsidRPr="00FC22F7">
        <w:rPr>
          <w:rFonts w:eastAsia="Calibri"/>
          <w:lang w:val="pl-PL"/>
        </w:rPr>
        <w:t xml:space="preserve"> jakości realizowan</w:t>
      </w:r>
      <w:r>
        <w:rPr>
          <w:rFonts w:eastAsia="Calibri"/>
          <w:lang w:val="pl-PL"/>
        </w:rPr>
        <w:t>ych świadczeń oraz zachęcanie do jej poprawy</w:t>
      </w:r>
      <w:r w:rsidR="00FC22F7" w:rsidRPr="00FC22F7">
        <w:rPr>
          <w:rFonts w:eastAsia="Calibri"/>
          <w:lang w:val="pl-PL"/>
        </w:rPr>
        <w:t xml:space="preserve">. </w:t>
      </w:r>
    </w:p>
    <w:p w14:paraId="09CAE582" w14:textId="77777777" w:rsidR="00FC22F7" w:rsidRPr="00FC22F7" w:rsidRDefault="00D34D90" w:rsidP="00FC22F7">
      <w:pPr>
        <w:rPr>
          <w:rFonts w:eastAsia="Calibri"/>
          <w:lang w:val="pl-PL"/>
        </w:rPr>
      </w:pPr>
      <w:r>
        <w:rPr>
          <w:rFonts w:eastAsia="Calibri"/>
          <w:lang w:val="pl-PL"/>
        </w:rPr>
        <w:t>Zgodnie z założeniami Ministerstwa Zdrowia r</w:t>
      </w:r>
      <w:r w:rsidR="00262E3A">
        <w:rPr>
          <w:rFonts w:eastAsia="Calibri"/>
          <w:lang w:val="pl-PL"/>
        </w:rPr>
        <w:t>ejestr</w:t>
      </w:r>
      <w:r w:rsidR="00FC22F7" w:rsidRPr="00FC22F7">
        <w:rPr>
          <w:rFonts w:eastAsia="Calibri"/>
          <w:lang w:val="pl-PL"/>
        </w:rPr>
        <w:t xml:space="preserve"> </w:t>
      </w:r>
      <w:r w:rsidR="00262E3A">
        <w:rPr>
          <w:rFonts w:eastAsia="Calibri"/>
          <w:lang w:val="pl-PL"/>
        </w:rPr>
        <w:t>ma</w:t>
      </w:r>
      <w:r>
        <w:rPr>
          <w:rFonts w:eastAsia="Calibri"/>
          <w:lang w:val="pl-PL"/>
        </w:rPr>
        <w:t xml:space="preserve"> umożliwić</w:t>
      </w:r>
      <w:r w:rsidR="00C646A6" w:rsidRPr="00D04BA6">
        <w:rPr>
          <w:rStyle w:val="Odwoanieprzypisudolnego"/>
          <w:rFonts w:eastAsia="Calibri"/>
          <w:sz w:val="22"/>
          <w:lang w:val="pl-PL"/>
        </w:rPr>
        <w:footnoteReference w:id="72"/>
      </w:r>
      <w:r>
        <w:rPr>
          <w:rFonts w:eastAsia="Calibri"/>
          <w:lang w:val="pl-PL"/>
        </w:rPr>
        <w:t>:</w:t>
      </w:r>
    </w:p>
    <w:p w14:paraId="47D35729" w14:textId="77777777" w:rsidR="00D04BA6" w:rsidRPr="003123D7" w:rsidRDefault="00FC22F7" w:rsidP="00F84B72">
      <w:pPr>
        <w:pStyle w:val="EYBulletedList1"/>
        <w:numPr>
          <w:ilvl w:val="0"/>
          <w:numId w:val="11"/>
        </w:numPr>
        <w:jc w:val="both"/>
        <w:rPr>
          <w:rFonts w:eastAsia="Calibri"/>
          <w:lang w:val="pl-PL"/>
        </w:rPr>
      </w:pPr>
      <w:r w:rsidRPr="004E62AC">
        <w:rPr>
          <w:rFonts w:eastAsia="Calibri"/>
          <w:sz w:val="22"/>
          <w:lang w:val="pl-PL"/>
        </w:rPr>
        <w:t>ocenę jakości świadczeń zdrowotnych udzielanych przez poszczególne podmioty w warunkach rzeczywistych</w:t>
      </w:r>
    </w:p>
    <w:p w14:paraId="11C39CCF" w14:textId="77777777" w:rsidR="00FC22F7" w:rsidRPr="005E7B16" w:rsidRDefault="00FC22F7" w:rsidP="003123D7">
      <w:pPr>
        <w:pStyle w:val="EYBulletedList1"/>
        <w:numPr>
          <w:ilvl w:val="0"/>
          <w:numId w:val="0"/>
        </w:numPr>
        <w:jc w:val="both"/>
        <w:rPr>
          <w:rFonts w:eastAsia="Calibri"/>
          <w:lang w:val="pl-PL"/>
        </w:rPr>
      </w:pPr>
      <w:r w:rsidRPr="004E62AC">
        <w:rPr>
          <w:rFonts w:eastAsia="Calibri"/>
          <w:sz w:val="22"/>
          <w:lang w:val="pl-PL"/>
        </w:rPr>
        <w:t>lub</w:t>
      </w:r>
    </w:p>
    <w:p w14:paraId="18636DAB" w14:textId="77777777" w:rsidR="00FC22F7" w:rsidRPr="003123D7" w:rsidRDefault="00262E3A" w:rsidP="00F84B72">
      <w:pPr>
        <w:pStyle w:val="EYBulletedList1"/>
        <w:numPr>
          <w:ilvl w:val="0"/>
          <w:numId w:val="11"/>
        </w:numPr>
        <w:jc w:val="both"/>
        <w:rPr>
          <w:rFonts w:eastAsia="Calibri"/>
          <w:lang w:val="pl-PL"/>
        </w:rPr>
      </w:pPr>
      <w:r>
        <w:rPr>
          <w:rFonts w:eastAsia="Calibri"/>
          <w:sz w:val="22"/>
          <w:lang w:val="pl-PL"/>
        </w:rPr>
        <w:t>ocenę sposobów postępowania/ technologii medycznych/ produktów leczniczych</w:t>
      </w:r>
      <w:r w:rsidR="00FC22F7" w:rsidRPr="004E62AC">
        <w:rPr>
          <w:rFonts w:eastAsia="Calibri"/>
          <w:sz w:val="22"/>
          <w:lang w:val="pl-PL"/>
        </w:rPr>
        <w:t>/ wyrobów medyc</w:t>
      </w:r>
      <w:r w:rsidR="00D34D90" w:rsidRPr="004E62AC">
        <w:rPr>
          <w:rFonts w:eastAsia="Calibri"/>
          <w:sz w:val="22"/>
          <w:lang w:val="pl-PL"/>
        </w:rPr>
        <w:t>znych w warunkach rzeczywistych</w:t>
      </w:r>
    </w:p>
    <w:p w14:paraId="39730300" w14:textId="77777777" w:rsidR="00D04BA6" w:rsidRPr="005E7B16" w:rsidRDefault="00D04BA6" w:rsidP="003123D7">
      <w:pPr>
        <w:pStyle w:val="EYBulletedList1"/>
        <w:numPr>
          <w:ilvl w:val="0"/>
          <w:numId w:val="0"/>
        </w:numPr>
        <w:jc w:val="both"/>
        <w:rPr>
          <w:rFonts w:eastAsia="Calibri"/>
          <w:lang w:val="pl-PL"/>
        </w:rPr>
      </w:pPr>
      <w:r>
        <w:rPr>
          <w:rFonts w:eastAsia="Calibri"/>
          <w:sz w:val="22"/>
          <w:lang w:val="pl-PL"/>
        </w:rPr>
        <w:t>lub</w:t>
      </w:r>
    </w:p>
    <w:p w14:paraId="0C46F497" w14:textId="77777777" w:rsidR="00FC22F7" w:rsidRPr="005E7B16" w:rsidRDefault="00FC22F7" w:rsidP="00F84B72">
      <w:pPr>
        <w:pStyle w:val="EYBulletedList1"/>
        <w:numPr>
          <w:ilvl w:val="0"/>
          <w:numId w:val="11"/>
        </w:numPr>
        <w:jc w:val="both"/>
        <w:rPr>
          <w:rFonts w:eastAsia="Calibri"/>
          <w:lang w:val="pl-PL"/>
        </w:rPr>
      </w:pPr>
      <w:r w:rsidRPr="004E62AC">
        <w:rPr>
          <w:rFonts w:eastAsia="Calibri"/>
          <w:sz w:val="22"/>
          <w:lang w:val="pl-PL"/>
        </w:rPr>
        <w:t>poprawę bezpieczeństwa i skuteczności opieki sprawowanej nad pacjentami</w:t>
      </w:r>
    </w:p>
    <w:p w14:paraId="1921F350" w14:textId="77777777" w:rsidR="00FC22F7" w:rsidRPr="00FC22F7" w:rsidRDefault="00D34D90" w:rsidP="00FC22F7">
      <w:pPr>
        <w:rPr>
          <w:rFonts w:eastAsia="Calibri"/>
          <w:lang w:val="pl-PL"/>
        </w:rPr>
      </w:pPr>
      <w:r>
        <w:rPr>
          <w:rFonts w:eastAsia="Calibri"/>
          <w:lang w:val="pl-PL"/>
        </w:rPr>
        <w:t xml:space="preserve">W przypadku pacjentów nefrologicznych, w tym pacjentów z </w:t>
      </w:r>
      <w:proofErr w:type="spellStart"/>
      <w:r w:rsidR="00D04BA6">
        <w:rPr>
          <w:rFonts w:eastAsia="Calibri"/>
          <w:lang w:val="pl-PL"/>
        </w:rPr>
        <w:t>PChN</w:t>
      </w:r>
      <w:proofErr w:type="spellEnd"/>
      <w:r>
        <w:rPr>
          <w:rFonts w:eastAsia="Calibri"/>
          <w:lang w:val="pl-PL"/>
        </w:rPr>
        <w:t xml:space="preserve"> rejestr powinien obejmować pacjentów</w:t>
      </w:r>
      <w:r w:rsidR="00C646A6" w:rsidRPr="00D04BA6">
        <w:rPr>
          <w:rStyle w:val="Odwoanieprzypisudolnego"/>
          <w:rFonts w:eastAsia="Calibri"/>
          <w:sz w:val="22"/>
          <w:lang w:val="pl-PL"/>
        </w:rPr>
        <w:footnoteReference w:id="73"/>
      </w:r>
      <w:r>
        <w:rPr>
          <w:rFonts w:eastAsia="Calibri"/>
          <w:lang w:val="pl-PL"/>
        </w:rPr>
        <w:t xml:space="preserve">: </w:t>
      </w:r>
    </w:p>
    <w:p w14:paraId="46800F37" w14:textId="77777777" w:rsidR="00FC22F7" w:rsidRPr="005E7B16" w:rsidRDefault="00FC22F7" w:rsidP="00F84B72">
      <w:pPr>
        <w:pStyle w:val="EYBulletedList1"/>
        <w:numPr>
          <w:ilvl w:val="0"/>
          <w:numId w:val="11"/>
        </w:numPr>
        <w:jc w:val="both"/>
        <w:rPr>
          <w:rFonts w:eastAsia="Calibri"/>
          <w:lang w:val="pl-PL"/>
        </w:rPr>
      </w:pPr>
      <w:r w:rsidRPr="004E62AC">
        <w:rPr>
          <w:rFonts w:eastAsia="Calibri"/>
          <w:sz w:val="22"/>
          <w:lang w:val="pl-PL"/>
        </w:rPr>
        <w:t xml:space="preserve">z określonym </w:t>
      </w:r>
      <w:r w:rsidR="00D34D90" w:rsidRPr="004E62AC">
        <w:rPr>
          <w:rFonts w:eastAsia="Calibri"/>
          <w:sz w:val="22"/>
          <w:lang w:val="pl-PL"/>
        </w:rPr>
        <w:t>rozpoznaniem, stanem chorobowym</w:t>
      </w:r>
    </w:p>
    <w:p w14:paraId="39D491F0" w14:textId="77777777" w:rsidR="00FC22F7" w:rsidRPr="005E7B16" w:rsidRDefault="00FC22F7" w:rsidP="00F84B72">
      <w:pPr>
        <w:pStyle w:val="EYBulletedList1"/>
        <w:numPr>
          <w:ilvl w:val="0"/>
          <w:numId w:val="11"/>
        </w:numPr>
        <w:jc w:val="both"/>
        <w:rPr>
          <w:rFonts w:eastAsia="Calibri"/>
          <w:lang w:val="pl-PL"/>
        </w:rPr>
      </w:pPr>
      <w:r w:rsidRPr="004E62AC">
        <w:rPr>
          <w:rFonts w:eastAsia="Calibri"/>
          <w:sz w:val="22"/>
          <w:lang w:val="pl-PL"/>
        </w:rPr>
        <w:t>poddawanych określonej te</w:t>
      </w:r>
      <w:r w:rsidR="00D34D90" w:rsidRPr="004E62AC">
        <w:rPr>
          <w:rFonts w:eastAsia="Calibri"/>
          <w:sz w:val="22"/>
          <w:lang w:val="pl-PL"/>
        </w:rPr>
        <w:t>rapii i określonemu postępowaniu</w:t>
      </w:r>
    </w:p>
    <w:p w14:paraId="2AEF7FAD" w14:textId="77777777" w:rsidR="00FC22F7" w:rsidRPr="005E7B16" w:rsidRDefault="00FC22F7" w:rsidP="00F84B72">
      <w:pPr>
        <w:pStyle w:val="EYBulletedList1"/>
        <w:numPr>
          <w:ilvl w:val="0"/>
          <w:numId w:val="11"/>
        </w:numPr>
        <w:jc w:val="both"/>
        <w:rPr>
          <w:rFonts w:eastAsia="Calibri"/>
          <w:lang w:val="pl-PL"/>
        </w:rPr>
      </w:pPr>
      <w:r w:rsidRPr="004E62AC">
        <w:rPr>
          <w:rFonts w:eastAsia="Calibri"/>
          <w:sz w:val="22"/>
          <w:lang w:val="pl-PL"/>
        </w:rPr>
        <w:t>u których zastosowa</w:t>
      </w:r>
      <w:r w:rsidR="00D34D90" w:rsidRPr="004E62AC">
        <w:rPr>
          <w:rFonts w:eastAsia="Calibri"/>
          <w:sz w:val="22"/>
          <w:lang w:val="pl-PL"/>
        </w:rPr>
        <w:t>no określony produkt leczniczy</w:t>
      </w:r>
    </w:p>
    <w:p w14:paraId="4101E15F" w14:textId="77777777" w:rsidR="00BC7142" w:rsidRDefault="00262E3A" w:rsidP="00D00B1D">
      <w:pPr>
        <w:rPr>
          <w:rFonts w:eastAsia="Calibri"/>
          <w:lang w:val="pl-PL"/>
        </w:rPr>
      </w:pPr>
      <w:r>
        <w:rPr>
          <w:rFonts w:eastAsia="Calibri"/>
          <w:lang w:val="pl-PL"/>
        </w:rPr>
        <w:lastRenderedPageBreak/>
        <w:t>P</w:t>
      </w:r>
      <w:r w:rsidR="00D00B1D" w:rsidRPr="00FC22F7">
        <w:rPr>
          <w:rFonts w:eastAsia="Calibri"/>
          <w:lang w:val="pl-PL"/>
        </w:rPr>
        <w:t xml:space="preserve">rojekt założeń do projektu ustawy o jakości w ochronie zdrowia i bezpieczeństwie pacjenta został przekazany do konsultacji publicznych. </w:t>
      </w:r>
    </w:p>
    <w:p w14:paraId="002FC4F8" w14:textId="77777777" w:rsidR="00BC7142" w:rsidRDefault="00BC7142" w:rsidP="00D00B1D">
      <w:pPr>
        <w:rPr>
          <w:rFonts w:eastAsia="Calibri"/>
          <w:lang w:val="pl-PL"/>
        </w:rPr>
      </w:pPr>
      <w:r>
        <w:rPr>
          <w:rFonts w:eastAsia="Calibri"/>
          <w:lang w:val="pl-PL"/>
        </w:rPr>
        <w:t>Eksperci w zakresie nefrologii reprezentujący różne środowiska jasno deklarują konieczność wprowadzenia rejestr</w:t>
      </w:r>
      <w:r w:rsidR="00D04BA6">
        <w:rPr>
          <w:rFonts w:eastAsia="Calibri"/>
          <w:lang w:val="pl-PL"/>
        </w:rPr>
        <w:t>u</w:t>
      </w:r>
      <w:r>
        <w:rPr>
          <w:rFonts w:eastAsia="Calibri"/>
          <w:lang w:val="pl-PL"/>
        </w:rPr>
        <w:t xml:space="preserve"> pacjentów. </w:t>
      </w:r>
      <w:r w:rsidR="00564C10">
        <w:rPr>
          <w:rFonts w:eastAsia="Calibri"/>
          <w:lang w:val="pl-PL"/>
        </w:rPr>
        <w:t xml:space="preserve">Rejestr pozwoliłby na lepsze monitorowanie i kontrolowanie procesu leczenia oraz upłynnienie komunikacji pomiędzy poszczególnymi </w:t>
      </w:r>
      <w:r>
        <w:rPr>
          <w:rFonts w:eastAsia="Calibri"/>
          <w:lang w:val="pl-PL"/>
        </w:rPr>
        <w:t>realizatorami opieki.</w:t>
      </w:r>
    </w:p>
    <w:p w14:paraId="43A40E33" w14:textId="77777777" w:rsidR="00BC7142" w:rsidRDefault="00BC7142" w:rsidP="00D00B1D">
      <w:pPr>
        <w:rPr>
          <w:rFonts w:eastAsia="Calibri"/>
          <w:lang w:val="pl-PL"/>
        </w:rPr>
      </w:pPr>
      <w:r>
        <w:rPr>
          <w:rFonts w:eastAsia="Calibri"/>
          <w:lang w:val="pl-PL"/>
        </w:rPr>
        <w:t>Ze względu na toczące się prace po stronie regulatora, w niniejszym raporcie nie będą analizowane szczegóły rozwiązania w zakresie wprowadzania rejestrów.</w:t>
      </w:r>
    </w:p>
    <w:p w14:paraId="07C18589" w14:textId="77777777" w:rsidR="006606DA" w:rsidRDefault="0008487A" w:rsidP="006606DA">
      <w:pPr>
        <w:pStyle w:val="EYHeading3"/>
        <w:rPr>
          <w:rFonts w:eastAsia="Calibri"/>
          <w:color w:val="FF0000"/>
          <w:lang w:val="pl-PL"/>
        </w:rPr>
      </w:pPr>
      <w:bookmarkStart w:id="275" w:name="_Toc477551072"/>
      <w:bookmarkStart w:id="276" w:name="_Toc477551232"/>
      <w:bookmarkStart w:id="277" w:name="_Toc477551370"/>
      <w:bookmarkStart w:id="278" w:name="_Toc477551507"/>
      <w:bookmarkStart w:id="279" w:name="_Toc477553527"/>
      <w:bookmarkStart w:id="280" w:name="_Toc477869017"/>
      <w:bookmarkStart w:id="281" w:name="_Toc477900966"/>
      <w:bookmarkStart w:id="282" w:name="_Toc477950239"/>
      <w:bookmarkStart w:id="283" w:name="_Toc477951219"/>
      <w:bookmarkStart w:id="284" w:name="_Toc477951357"/>
      <w:bookmarkStart w:id="285" w:name="_Toc477951495"/>
      <w:bookmarkStart w:id="286" w:name="_Toc477551073"/>
      <w:bookmarkStart w:id="287" w:name="_Toc477551233"/>
      <w:bookmarkStart w:id="288" w:name="_Toc477551371"/>
      <w:bookmarkStart w:id="289" w:name="_Toc477551508"/>
      <w:bookmarkStart w:id="290" w:name="_Toc477553528"/>
      <w:bookmarkStart w:id="291" w:name="_Toc477869018"/>
      <w:bookmarkStart w:id="292" w:name="_Toc477900967"/>
      <w:bookmarkStart w:id="293" w:name="_Toc477950240"/>
      <w:bookmarkStart w:id="294" w:name="_Toc477951220"/>
      <w:bookmarkStart w:id="295" w:name="_Toc477951358"/>
      <w:bookmarkStart w:id="296" w:name="_Toc477951496"/>
      <w:bookmarkStart w:id="297" w:name="_Toc477444371"/>
      <w:bookmarkStart w:id="298" w:name="_Toc477446996"/>
      <w:bookmarkStart w:id="299" w:name="_Toc477547909"/>
      <w:bookmarkStart w:id="300" w:name="_Toc477550154"/>
      <w:bookmarkStart w:id="301" w:name="_Toc477551074"/>
      <w:bookmarkStart w:id="302" w:name="_Toc477551234"/>
      <w:bookmarkStart w:id="303" w:name="_Toc477551372"/>
      <w:bookmarkStart w:id="304" w:name="_Toc477551509"/>
      <w:bookmarkStart w:id="305" w:name="_Toc477553529"/>
      <w:bookmarkStart w:id="306" w:name="_Toc477869019"/>
      <w:bookmarkStart w:id="307" w:name="_Toc477900968"/>
      <w:bookmarkStart w:id="308" w:name="_Toc477950241"/>
      <w:bookmarkStart w:id="309" w:name="_Toc477951221"/>
      <w:bookmarkStart w:id="310" w:name="_Toc477951359"/>
      <w:bookmarkStart w:id="311" w:name="_Toc477951497"/>
      <w:bookmarkStart w:id="312" w:name="_Toc477444372"/>
      <w:bookmarkStart w:id="313" w:name="_Toc477446997"/>
      <w:bookmarkStart w:id="314" w:name="_Toc477547910"/>
      <w:bookmarkStart w:id="315" w:name="_Toc477550155"/>
      <w:bookmarkStart w:id="316" w:name="_Toc477551075"/>
      <w:bookmarkStart w:id="317" w:name="_Toc477551235"/>
      <w:bookmarkStart w:id="318" w:name="_Toc477551373"/>
      <w:bookmarkStart w:id="319" w:name="_Toc477551510"/>
      <w:bookmarkStart w:id="320" w:name="_Toc477553530"/>
      <w:bookmarkStart w:id="321" w:name="_Toc477869020"/>
      <w:bookmarkStart w:id="322" w:name="_Toc477900969"/>
      <w:bookmarkStart w:id="323" w:name="_Toc477950242"/>
      <w:bookmarkStart w:id="324" w:name="_Toc477951222"/>
      <w:bookmarkStart w:id="325" w:name="_Toc477951360"/>
      <w:bookmarkStart w:id="326" w:name="_Toc477951498"/>
      <w:bookmarkStart w:id="327" w:name="_Toc48653794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4E62AC">
        <w:rPr>
          <w:rFonts w:eastAsia="Calibri"/>
          <w:color w:val="000000" w:themeColor="text1"/>
          <w:lang w:val="pl-PL"/>
        </w:rPr>
        <w:t xml:space="preserve">Wspieranie standardów leczenia - </w:t>
      </w:r>
      <w:r w:rsidR="002A2DDD" w:rsidRPr="004E62AC">
        <w:rPr>
          <w:rFonts w:eastAsia="Calibri"/>
          <w:color w:val="000000" w:themeColor="text1"/>
          <w:lang w:val="pl-PL"/>
        </w:rPr>
        <w:t>certyfikacja jednostek</w:t>
      </w:r>
      <w:bookmarkEnd w:id="327"/>
    </w:p>
    <w:p w14:paraId="262C93D1" w14:textId="42600A6C" w:rsidR="00232261" w:rsidRPr="004E62AC" w:rsidRDefault="00232261" w:rsidP="004E62AC">
      <w:pPr>
        <w:rPr>
          <w:rFonts w:eastAsia="Calibri"/>
          <w:lang w:val="pl-PL"/>
        </w:rPr>
      </w:pPr>
      <w:r>
        <w:rPr>
          <w:rFonts w:eastAsia="Calibri"/>
          <w:lang w:val="pl-PL"/>
        </w:rPr>
        <w:t>Dodatkowym elementem</w:t>
      </w:r>
      <w:r w:rsidR="00564C10">
        <w:rPr>
          <w:rFonts w:eastAsia="Calibri"/>
          <w:lang w:val="pl-PL"/>
        </w:rPr>
        <w:t xml:space="preserve"> wspierającym </w:t>
      </w:r>
      <w:r>
        <w:rPr>
          <w:rFonts w:eastAsia="Calibri"/>
          <w:lang w:val="pl-PL"/>
        </w:rPr>
        <w:t>budowanie dobrych standardów leczenia może być certyfikacja jednostek</w:t>
      </w:r>
      <w:r w:rsidR="00564C10">
        <w:rPr>
          <w:rFonts w:eastAsia="Calibri"/>
          <w:lang w:val="pl-PL"/>
        </w:rPr>
        <w:t xml:space="preserve"> realizujących </w:t>
      </w:r>
      <w:r>
        <w:rPr>
          <w:rFonts w:eastAsia="Calibri"/>
          <w:lang w:val="pl-PL"/>
        </w:rPr>
        <w:t xml:space="preserve">opiekę nad pacjentami z </w:t>
      </w:r>
      <w:proofErr w:type="spellStart"/>
      <w:r>
        <w:rPr>
          <w:rFonts w:eastAsia="Calibri"/>
          <w:lang w:val="pl-PL"/>
        </w:rPr>
        <w:t>PChN</w:t>
      </w:r>
      <w:proofErr w:type="spellEnd"/>
      <w:r>
        <w:rPr>
          <w:rFonts w:eastAsia="Calibri"/>
          <w:lang w:val="pl-PL"/>
        </w:rPr>
        <w:t>. Szczegóły systemu certyfikacji powinny zostać wypracowane przez</w:t>
      </w:r>
      <w:r w:rsidR="00A16630">
        <w:rPr>
          <w:rFonts w:eastAsia="Calibri"/>
          <w:lang w:val="pl-PL"/>
        </w:rPr>
        <w:t xml:space="preserve"> Zespół Konsultanta Krajowego ds. Nefrologii we współpracy z</w:t>
      </w:r>
      <w:r>
        <w:rPr>
          <w:rFonts w:eastAsia="Calibri"/>
          <w:lang w:val="pl-PL"/>
        </w:rPr>
        <w:t xml:space="preserve"> Izb</w:t>
      </w:r>
      <w:r w:rsidR="00A16630">
        <w:rPr>
          <w:rFonts w:eastAsia="Calibri"/>
          <w:lang w:val="pl-PL"/>
        </w:rPr>
        <w:t xml:space="preserve">ą </w:t>
      </w:r>
      <w:r>
        <w:rPr>
          <w:rFonts w:eastAsia="Calibri"/>
          <w:lang w:val="pl-PL"/>
        </w:rPr>
        <w:t>Gospodarczą</w:t>
      </w:r>
      <w:r w:rsidR="00F84E82">
        <w:rPr>
          <w:rFonts w:eastAsia="Calibri"/>
          <w:lang w:val="pl-PL"/>
        </w:rPr>
        <w:t>.</w:t>
      </w:r>
    </w:p>
    <w:p w14:paraId="172F7180" w14:textId="77777777" w:rsidR="008F28D6" w:rsidRPr="006A636F" w:rsidRDefault="008F28D6" w:rsidP="002A2DDD">
      <w:pPr>
        <w:pStyle w:val="EYHeading2"/>
        <w:rPr>
          <w:rFonts w:eastAsia="Calibri"/>
          <w:color w:val="000000" w:themeColor="text1"/>
          <w:lang w:val="pl-PL"/>
        </w:rPr>
      </w:pPr>
      <w:bookmarkStart w:id="328" w:name="_Toc486537945"/>
      <w:r w:rsidRPr="006A636F">
        <w:rPr>
          <w:rFonts w:eastAsia="Calibri"/>
          <w:color w:val="000000" w:themeColor="text1"/>
          <w:lang w:val="pl-PL"/>
        </w:rPr>
        <w:t>Opis procedury</w:t>
      </w:r>
      <w:r w:rsidR="009847B3">
        <w:rPr>
          <w:rFonts w:eastAsia="Calibri"/>
          <w:color w:val="000000" w:themeColor="text1"/>
          <w:lang w:val="pl-PL"/>
        </w:rPr>
        <w:t xml:space="preserve"> i modelowej jednostki koordynującej</w:t>
      </w:r>
      <w:bookmarkEnd w:id="328"/>
    </w:p>
    <w:p w14:paraId="1221F44C" w14:textId="4E7E01A6" w:rsidR="00185D10" w:rsidRPr="004E62AC" w:rsidRDefault="00447DA0" w:rsidP="004E62AC">
      <w:pPr>
        <w:rPr>
          <w:rFonts w:eastAsia="Calibri"/>
          <w:lang w:val="pl-PL"/>
        </w:rPr>
      </w:pPr>
      <w:r>
        <w:rPr>
          <w:rFonts w:eastAsia="Calibri"/>
          <w:lang w:val="pl-PL"/>
        </w:rPr>
        <w:t xml:space="preserve">Procedura wraz z modelową jednostką koordynującą dla proponowanego modelu opieki </w:t>
      </w:r>
      <w:r w:rsidR="006A636F">
        <w:rPr>
          <w:rFonts w:eastAsia="Calibri"/>
          <w:lang w:val="pl-PL"/>
        </w:rPr>
        <w:t>koordynowanej nad pacjen</w:t>
      </w:r>
      <w:r w:rsidR="009847B3">
        <w:rPr>
          <w:rFonts w:eastAsia="Calibri"/>
          <w:lang w:val="pl-PL"/>
        </w:rPr>
        <w:t xml:space="preserve">tem </w:t>
      </w:r>
      <w:r w:rsidR="009424BE">
        <w:rPr>
          <w:rFonts w:eastAsia="Calibri"/>
          <w:lang w:val="pl-PL"/>
        </w:rPr>
        <w:t xml:space="preserve">w zaawansowanym stadium </w:t>
      </w:r>
      <w:proofErr w:type="spellStart"/>
      <w:r>
        <w:rPr>
          <w:rFonts w:eastAsia="Calibri"/>
          <w:lang w:val="pl-PL"/>
        </w:rPr>
        <w:t>PChN</w:t>
      </w:r>
      <w:proofErr w:type="spellEnd"/>
      <w:r w:rsidR="009847B3">
        <w:rPr>
          <w:rFonts w:eastAsia="Calibri"/>
          <w:lang w:val="pl-PL"/>
        </w:rPr>
        <w:t xml:space="preserve"> </w:t>
      </w:r>
      <w:r w:rsidR="006A636F">
        <w:rPr>
          <w:rFonts w:eastAsia="Calibri"/>
          <w:lang w:val="pl-PL"/>
        </w:rPr>
        <w:t xml:space="preserve"> zostały opisane w standardowej tabeli definiującej świadczenia gwarantowane</w:t>
      </w:r>
      <w:r>
        <w:rPr>
          <w:rFonts w:eastAsia="Calibri"/>
          <w:lang w:val="pl-PL"/>
        </w:rPr>
        <w:t>,</w:t>
      </w:r>
      <w:r w:rsidR="006A636F">
        <w:rPr>
          <w:rFonts w:eastAsia="Calibri"/>
          <w:lang w:val="pl-PL"/>
        </w:rPr>
        <w:t xml:space="preserve"> stosowanej przez Agencję Oceny Technologii Medycznych i Taryfikacji. </w:t>
      </w:r>
      <w:r w:rsidR="002F02E4">
        <w:rPr>
          <w:rFonts w:eastAsia="Calibri"/>
          <w:lang w:val="pl-PL"/>
        </w:rPr>
        <w:t>Tabela s</w:t>
      </w:r>
      <w:r w:rsidR="006A636F">
        <w:rPr>
          <w:rFonts w:eastAsia="Calibri"/>
          <w:lang w:val="pl-PL"/>
        </w:rPr>
        <w:t>tanowi załącznik nr 1 do niniejszego raportu.</w:t>
      </w:r>
    </w:p>
    <w:p w14:paraId="3BA5D550" w14:textId="77777777" w:rsidR="002A2DDD" w:rsidRPr="00AB7423" w:rsidRDefault="006A636F" w:rsidP="002A2DDD">
      <w:pPr>
        <w:pStyle w:val="EYHeading2"/>
        <w:rPr>
          <w:rFonts w:eastAsia="Calibri"/>
          <w:color w:val="000000" w:themeColor="text1"/>
          <w:lang w:val="pl-PL"/>
        </w:rPr>
      </w:pPr>
      <w:bookmarkStart w:id="329" w:name="_Toc486537946"/>
      <w:r w:rsidRPr="00AB7423">
        <w:rPr>
          <w:rFonts w:eastAsia="Calibri"/>
          <w:color w:val="000000" w:themeColor="text1"/>
          <w:lang w:val="pl-PL"/>
        </w:rPr>
        <w:t>Szacunkowe k</w:t>
      </w:r>
      <w:r w:rsidR="002A2DDD" w:rsidRPr="00AB7423">
        <w:rPr>
          <w:rFonts w:eastAsia="Calibri"/>
          <w:color w:val="000000" w:themeColor="text1"/>
          <w:lang w:val="pl-PL"/>
        </w:rPr>
        <w:t xml:space="preserve">oszty bezpośrednie opieki nad pacjentami </w:t>
      </w:r>
      <w:r w:rsidRPr="00AB7423">
        <w:rPr>
          <w:rFonts w:eastAsia="Calibri"/>
          <w:color w:val="000000" w:themeColor="text1"/>
          <w:lang w:val="pl-PL"/>
        </w:rPr>
        <w:t xml:space="preserve">dializowanymi – </w:t>
      </w:r>
      <w:r w:rsidR="00447DA0" w:rsidRPr="00AB7423">
        <w:rPr>
          <w:rFonts w:eastAsia="Calibri"/>
          <w:color w:val="000000" w:themeColor="text1"/>
          <w:lang w:val="pl-PL"/>
        </w:rPr>
        <w:t xml:space="preserve">aktualnie </w:t>
      </w:r>
      <w:r w:rsidRPr="00AB7423">
        <w:rPr>
          <w:rFonts w:eastAsia="Calibri"/>
          <w:color w:val="000000" w:themeColor="text1"/>
          <w:lang w:val="pl-PL"/>
        </w:rPr>
        <w:t>vs. opieka koordynowana</w:t>
      </w:r>
      <w:bookmarkEnd w:id="329"/>
      <w:r w:rsidR="002A2DDD" w:rsidRPr="00AB7423">
        <w:rPr>
          <w:rFonts w:eastAsia="Calibri"/>
          <w:color w:val="000000" w:themeColor="text1"/>
          <w:lang w:val="pl-PL"/>
        </w:rPr>
        <w:t xml:space="preserve"> </w:t>
      </w:r>
    </w:p>
    <w:p w14:paraId="63F51F66" w14:textId="77777777" w:rsidR="006311BE" w:rsidRDefault="0090272B" w:rsidP="006311BE">
      <w:pPr>
        <w:rPr>
          <w:rFonts w:eastAsia="Calibri"/>
          <w:lang w:val="pl-PL"/>
        </w:rPr>
      </w:pPr>
      <w:r>
        <w:rPr>
          <w:rFonts w:eastAsia="Calibri"/>
          <w:lang w:val="pl-PL"/>
        </w:rPr>
        <w:t xml:space="preserve">W </w:t>
      </w:r>
      <w:r w:rsidR="00C6746B">
        <w:rPr>
          <w:rFonts w:eastAsia="Calibri"/>
          <w:lang w:val="pl-PL"/>
        </w:rPr>
        <w:t>niniejszym podrozdziale</w:t>
      </w:r>
      <w:r>
        <w:rPr>
          <w:rFonts w:eastAsia="Calibri"/>
          <w:lang w:val="pl-PL"/>
        </w:rPr>
        <w:t xml:space="preserve"> przedstawiono średnie roczne koszty opieki </w:t>
      </w:r>
      <w:r w:rsidRPr="004E62AC">
        <w:rPr>
          <w:rFonts w:eastAsia="Calibri"/>
          <w:lang w:val="pl-PL"/>
        </w:rPr>
        <w:t>nad pacjente</w:t>
      </w:r>
      <w:r w:rsidR="00FB5B0B" w:rsidRPr="004E62AC">
        <w:rPr>
          <w:rFonts w:eastAsia="Calibri"/>
          <w:lang w:val="pl-PL"/>
        </w:rPr>
        <w:t xml:space="preserve">m </w:t>
      </w:r>
      <w:r w:rsidR="007A73F0" w:rsidRPr="004E62AC">
        <w:rPr>
          <w:rFonts w:eastAsia="Calibri"/>
          <w:lang w:val="pl-PL"/>
        </w:rPr>
        <w:t>dializowanym</w:t>
      </w:r>
      <w:r w:rsidR="00FB5B0B" w:rsidRPr="00FB5B0B">
        <w:rPr>
          <w:rFonts w:eastAsia="Calibri"/>
          <w:lang w:val="pl-PL"/>
        </w:rPr>
        <w:t xml:space="preserve"> </w:t>
      </w:r>
      <w:r>
        <w:rPr>
          <w:rFonts w:eastAsia="Calibri"/>
          <w:lang w:val="pl-PL"/>
        </w:rPr>
        <w:t>w aktualnym i proponowanym modelu opieki.</w:t>
      </w:r>
    </w:p>
    <w:p w14:paraId="4DC274E1" w14:textId="77777777" w:rsidR="0090272B" w:rsidRDefault="005C0217" w:rsidP="006311BE">
      <w:pPr>
        <w:rPr>
          <w:rFonts w:eastAsia="Calibri"/>
          <w:lang w:val="pl-PL"/>
        </w:rPr>
      </w:pPr>
      <w:r>
        <w:rPr>
          <w:rFonts w:eastAsia="Calibri"/>
          <w:lang w:val="pl-PL"/>
        </w:rPr>
        <w:t>Do obliczenia kosztów</w:t>
      </w:r>
      <w:r w:rsidR="0090272B">
        <w:rPr>
          <w:rFonts w:eastAsia="Calibri"/>
          <w:lang w:val="pl-PL"/>
        </w:rPr>
        <w:t xml:space="preserve"> opieki w </w:t>
      </w:r>
      <w:r w:rsidR="0090272B" w:rsidRPr="008C1046">
        <w:rPr>
          <w:rFonts w:eastAsia="Calibri"/>
          <w:b/>
          <w:u w:val="single"/>
          <w:lang w:val="pl-PL"/>
        </w:rPr>
        <w:t>modelu aktualnym</w:t>
      </w:r>
      <w:r w:rsidR="0090272B">
        <w:rPr>
          <w:rFonts w:eastAsia="Calibri"/>
          <w:lang w:val="pl-PL"/>
        </w:rPr>
        <w:t xml:space="preserve"> przyjęto następujące założenia:</w:t>
      </w:r>
    </w:p>
    <w:p w14:paraId="380ABA00" w14:textId="77777777" w:rsidR="00B12502" w:rsidRPr="00FF3A4A" w:rsidRDefault="00B12502" w:rsidP="00F84B72">
      <w:pPr>
        <w:pStyle w:val="EYBulletedList1"/>
        <w:numPr>
          <w:ilvl w:val="0"/>
          <w:numId w:val="11"/>
        </w:numPr>
        <w:jc w:val="both"/>
        <w:rPr>
          <w:rFonts w:eastAsia="Calibri"/>
          <w:sz w:val="22"/>
          <w:lang w:val="pl-PL"/>
        </w:rPr>
      </w:pPr>
      <w:r>
        <w:rPr>
          <w:rFonts w:eastAsia="Calibri"/>
          <w:sz w:val="22"/>
          <w:lang w:val="pl-PL"/>
        </w:rPr>
        <w:t>Koszty analizowano dla 2015</w:t>
      </w:r>
      <w:r w:rsidR="00447DA0">
        <w:rPr>
          <w:rFonts w:eastAsia="Calibri"/>
          <w:sz w:val="22"/>
          <w:lang w:val="pl-PL"/>
        </w:rPr>
        <w:t xml:space="preserve"> r.</w:t>
      </w:r>
      <w:r w:rsidR="008E142E" w:rsidRPr="003123D7">
        <w:rPr>
          <w:rStyle w:val="Odwoanieprzypisudolnego"/>
          <w:rFonts w:eastAsia="Calibri"/>
          <w:sz w:val="22"/>
          <w:lang w:val="pl-PL"/>
        </w:rPr>
        <w:footnoteReference w:id="74"/>
      </w:r>
      <w:r w:rsidR="00A73483">
        <w:rPr>
          <w:rFonts w:eastAsia="Calibri"/>
          <w:sz w:val="22"/>
          <w:lang w:val="pl-PL"/>
        </w:rPr>
        <w:t xml:space="preserve"> </w:t>
      </w:r>
      <w:r w:rsidR="00A73483" w:rsidRPr="004E5652">
        <w:rPr>
          <w:rFonts w:eastAsia="Calibri"/>
          <w:sz w:val="22"/>
          <w:lang w:val="pl-PL"/>
        </w:rPr>
        <w:t xml:space="preserve">Cennik poszczególnych produktów kontraktowych to obowiązujące wyceny tych produktów </w:t>
      </w:r>
      <w:r w:rsidR="00A73483">
        <w:rPr>
          <w:rFonts w:eastAsia="Calibri"/>
          <w:sz w:val="22"/>
          <w:lang w:val="pl-PL"/>
        </w:rPr>
        <w:t>stosowane przez NFZ</w:t>
      </w:r>
    </w:p>
    <w:p w14:paraId="0E8E58D0" w14:textId="3C6BA437" w:rsidR="004E5652" w:rsidRDefault="00A16630" w:rsidP="00F84B72">
      <w:pPr>
        <w:pStyle w:val="EYBulletedList1"/>
        <w:numPr>
          <w:ilvl w:val="0"/>
          <w:numId w:val="11"/>
        </w:numPr>
        <w:jc w:val="both"/>
        <w:rPr>
          <w:rFonts w:eastAsia="Calibri"/>
          <w:sz w:val="22"/>
          <w:lang w:val="pl-PL"/>
        </w:rPr>
      </w:pPr>
      <w:r>
        <w:rPr>
          <w:rFonts w:eastAsia="Calibri"/>
          <w:sz w:val="22"/>
          <w:lang w:val="pl-PL"/>
        </w:rPr>
        <w:t xml:space="preserve">Na koniec 2015 roku dializowanych było </w:t>
      </w:r>
      <w:r w:rsidR="004E5652">
        <w:rPr>
          <w:rFonts w:eastAsia="Calibri"/>
          <w:sz w:val="22"/>
          <w:lang w:val="pl-PL"/>
        </w:rPr>
        <w:t>19 </w:t>
      </w:r>
      <w:r w:rsidR="004672AF">
        <w:rPr>
          <w:rFonts w:eastAsia="Calibri"/>
          <w:sz w:val="22"/>
          <w:lang w:val="pl-PL"/>
        </w:rPr>
        <w:t>953</w:t>
      </w:r>
      <w:r w:rsidR="004E5652">
        <w:rPr>
          <w:rFonts w:eastAsia="Calibri"/>
          <w:sz w:val="22"/>
          <w:lang w:val="pl-PL"/>
        </w:rPr>
        <w:t xml:space="preserve"> pacjentów, z czego 95% w hemodializ</w:t>
      </w:r>
      <w:r w:rsidR="007A73F0">
        <w:rPr>
          <w:rFonts w:eastAsia="Calibri"/>
          <w:sz w:val="22"/>
          <w:lang w:val="pl-PL"/>
        </w:rPr>
        <w:t>ie, a 5% w dializie otrzewnowej</w:t>
      </w:r>
    </w:p>
    <w:p w14:paraId="05F1C9A1" w14:textId="77777777" w:rsidR="004E5652" w:rsidRPr="004E5652" w:rsidRDefault="005C0217" w:rsidP="00F84B72">
      <w:pPr>
        <w:pStyle w:val="EYBulletedList1"/>
        <w:numPr>
          <w:ilvl w:val="0"/>
          <w:numId w:val="11"/>
        </w:numPr>
        <w:jc w:val="both"/>
        <w:rPr>
          <w:rFonts w:eastAsia="Calibri"/>
          <w:sz w:val="22"/>
          <w:lang w:val="pl-PL"/>
        </w:rPr>
      </w:pPr>
      <w:r>
        <w:rPr>
          <w:rFonts w:eastAsia="Calibri"/>
          <w:sz w:val="22"/>
          <w:lang w:val="pl-PL"/>
        </w:rPr>
        <w:t xml:space="preserve">Wartość </w:t>
      </w:r>
      <w:r w:rsidR="004E5652" w:rsidRPr="004E5652">
        <w:rPr>
          <w:rFonts w:eastAsia="Calibri"/>
          <w:sz w:val="22"/>
          <w:lang w:val="pl-PL"/>
        </w:rPr>
        <w:t>poszczególnych produktów :</w:t>
      </w:r>
    </w:p>
    <w:p w14:paraId="27D0E375" w14:textId="77777777" w:rsidR="004E5652" w:rsidRDefault="004E5652" w:rsidP="00F84B72">
      <w:pPr>
        <w:pStyle w:val="EYBulletedList1"/>
        <w:numPr>
          <w:ilvl w:val="1"/>
          <w:numId w:val="11"/>
        </w:numPr>
        <w:jc w:val="both"/>
        <w:rPr>
          <w:rFonts w:eastAsia="Calibri"/>
          <w:sz w:val="22"/>
          <w:lang w:val="pl-PL"/>
        </w:rPr>
      </w:pPr>
      <w:r w:rsidRPr="004E5652">
        <w:rPr>
          <w:rFonts w:eastAsia="Calibri"/>
          <w:b/>
          <w:sz w:val="22"/>
          <w:lang w:val="pl-PL"/>
        </w:rPr>
        <w:t>Dializa otrzewnowa</w:t>
      </w:r>
      <w:r>
        <w:rPr>
          <w:rFonts w:eastAsia="Calibri"/>
          <w:sz w:val="22"/>
          <w:lang w:val="pl-PL"/>
        </w:rPr>
        <w:t xml:space="preserve"> – </w:t>
      </w:r>
      <w:r w:rsidR="00B12502">
        <w:rPr>
          <w:rFonts w:eastAsia="Calibri"/>
          <w:sz w:val="22"/>
          <w:lang w:val="pl-PL"/>
        </w:rPr>
        <w:t xml:space="preserve">osobodzień w dializie otrzewnowej to 200 PLN </w:t>
      </w:r>
    </w:p>
    <w:p w14:paraId="13B2BB4D" w14:textId="2EFA21ED" w:rsidR="004E5652" w:rsidRDefault="004E5652" w:rsidP="00F84B72">
      <w:pPr>
        <w:pStyle w:val="EYBulletedList1"/>
        <w:numPr>
          <w:ilvl w:val="1"/>
          <w:numId w:val="11"/>
        </w:numPr>
        <w:jc w:val="both"/>
        <w:rPr>
          <w:rFonts w:eastAsia="Calibri"/>
          <w:sz w:val="22"/>
          <w:lang w:val="pl-PL"/>
        </w:rPr>
      </w:pPr>
      <w:r>
        <w:rPr>
          <w:rFonts w:eastAsia="Calibri"/>
          <w:b/>
          <w:sz w:val="22"/>
          <w:lang w:val="pl-PL"/>
        </w:rPr>
        <w:t xml:space="preserve">Hemodializa </w:t>
      </w:r>
      <w:r>
        <w:rPr>
          <w:rFonts w:eastAsia="Calibri"/>
          <w:sz w:val="22"/>
          <w:lang w:val="pl-PL"/>
        </w:rPr>
        <w:t xml:space="preserve">– koszt jednej dializy to </w:t>
      </w:r>
      <w:r w:rsidR="00C6746B">
        <w:rPr>
          <w:rFonts w:eastAsia="Calibri"/>
          <w:sz w:val="22"/>
          <w:lang w:val="pl-PL"/>
        </w:rPr>
        <w:t>398</w:t>
      </w:r>
      <w:r>
        <w:rPr>
          <w:rFonts w:eastAsia="Calibri"/>
          <w:sz w:val="22"/>
          <w:lang w:val="pl-PL"/>
        </w:rPr>
        <w:t xml:space="preserve"> PLN</w:t>
      </w:r>
      <w:r w:rsidR="00447DA0">
        <w:rPr>
          <w:rFonts w:eastAsia="Calibri"/>
          <w:sz w:val="22"/>
          <w:lang w:val="pl-PL"/>
        </w:rPr>
        <w:t xml:space="preserve"> (</w:t>
      </w:r>
      <w:r w:rsidR="00C6746B">
        <w:rPr>
          <w:rFonts w:eastAsia="Calibri"/>
          <w:sz w:val="22"/>
          <w:lang w:val="pl-PL"/>
        </w:rPr>
        <w:t>stawk</w:t>
      </w:r>
      <w:r w:rsidR="00447DA0">
        <w:rPr>
          <w:rFonts w:eastAsia="Calibri"/>
          <w:sz w:val="22"/>
          <w:lang w:val="pl-PL"/>
        </w:rPr>
        <w:t>a</w:t>
      </w:r>
      <w:r w:rsidR="00C6746B">
        <w:rPr>
          <w:rFonts w:eastAsia="Calibri"/>
          <w:sz w:val="22"/>
          <w:lang w:val="pl-PL"/>
        </w:rPr>
        <w:t xml:space="preserve"> za dializę obowiązującą od </w:t>
      </w:r>
      <w:r w:rsidR="00B04D2D">
        <w:rPr>
          <w:rFonts w:eastAsia="Calibri"/>
          <w:sz w:val="22"/>
          <w:lang w:val="pl-PL"/>
        </w:rPr>
        <w:t xml:space="preserve">połowy </w:t>
      </w:r>
      <w:r w:rsidR="00C6746B" w:rsidRPr="004E62AC">
        <w:rPr>
          <w:rFonts w:eastAsia="Calibri"/>
          <w:color w:val="000000" w:themeColor="text1"/>
          <w:sz w:val="22"/>
          <w:lang w:val="pl-PL"/>
        </w:rPr>
        <w:t>2016 r</w:t>
      </w:r>
      <w:r w:rsidR="00447DA0">
        <w:rPr>
          <w:rFonts w:eastAsia="Calibri"/>
          <w:color w:val="000000" w:themeColor="text1"/>
          <w:sz w:val="22"/>
          <w:lang w:val="pl-PL"/>
        </w:rPr>
        <w:t>.</w:t>
      </w:r>
      <w:r w:rsidR="00157B37">
        <w:rPr>
          <w:rFonts w:eastAsia="Calibri"/>
          <w:color w:val="000000" w:themeColor="text1"/>
          <w:sz w:val="22"/>
          <w:lang w:val="pl-PL"/>
        </w:rPr>
        <w:t>)</w:t>
      </w:r>
      <w:r w:rsidR="00D73B5E" w:rsidRPr="003123D7">
        <w:rPr>
          <w:rStyle w:val="Odwoanieprzypisudolnego"/>
          <w:rFonts w:eastAsia="Calibri"/>
          <w:color w:val="000000" w:themeColor="text1"/>
          <w:sz w:val="22"/>
          <w:lang w:val="pl-PL"/>
        </w:rPr>
        <w:footnoteReference w:id="75"/>
      </w:r>
      <w:r w:rsidRPr="004E62AC">
        <w:rPr>
          <w:rFonts w:eastAsia="Calibri"/>
          <w:color w:val="000000" w:themeColor="text1"/>
          <w:sz w:val="22"/>
          <w:lang w:val="pl-PL"/>
        </w:rPr>
        <w:t xml:space="preserve">. </w:t>
      </w:r>
      <w:r w:rsidR="00157B37">
        <w:rPr>
          <w:rFonts w:eastAsia="Calibri"/>
          <w:sz w:val="22"/>
          <w:lang w:val="pl-PL"/>
        </w:rPr>
        <w:t>Rocznie</w:t>
      </w:r>
      <w:r w:rsidR="007A73F0">
        <w:rPr>
          <w:rFonts w:eastAsia="Calibri"/>
          <w:sz w:val="22"/>
          <w:lang w:val="pl-PL"/>
        </w:rPr>
        <w:t xml:space="preserve"> pacjent realizuje 156 </w:t>
      </w:r>
      <w:r w:rsidR="00A16630">
        <w:rPr>
          <w:rFonts w:eastAsia="Calibri"/>
          <w:sz w:val="22"/>
          <w:lang w:val="pl-PL"/>
        </w:rPr>
        <w:t>hemo</w:t>
      </w:r>
      <w:r w:rsidR="007A73F0">
        <w:rPr>
          <w:rFonts w:eastAsia="Calibri"/>
          <w:sz w:val="22"/>
          <w:lang w:val="pl-PL"/>
        </w:rPr>
        <w:t>dializ</w:t>
      </w:r>
    </w:p>
    <w:p w14:paraId="4AC82A80" w14:textId="4E4175B8" w:rsidR="00F9019B" w:rsidRDefault="004E5652" w:rsidP="00F84B72">
      <w:pPr>
        <w:pStyle w:val="EYBulletedList1"/>
        <w:numPr>
          <w:ilvl w:val="1"/>
          <w:numId w:val="11"/>
        </w:numPr>
        <w:jc w:val="both"/>
        <w:rPr>
          <w:rFonts w:eastAsia="Calibri"/>
          <w:sz w:val="22"/>
          <w:lang w:val="pl-PL"/>
        </w:rPr>
      </w:pPr>
      <w:r w:rsidRPr="004E5652">
        <w:rPr>
          <w:rFonts w:eastAsia="Calibri"/>
          <w:b/>
          <w:sz w:val="22"/>
          <w:lang w:val="pl-PL"/>
        </w:rPr>
        <w:lastRenderedPageBreak/>
        <w:t xml:space="preserve">Regulacja gospodarki </w:t>
      </w:r>
      <w:r w:rsidR="005C0217">
        <w:rPr>
          <w:rFonts w:eastAsia="Calibri"/>
          <w:b/>
          <w:sz w:val="22"/>
          <w:lang w:val="pl-PL"/>
        </w:rPr>
        <w:t xml:space="preserve">wapniowo-fosforanowej </w:t>
      </w:r>
      <w:r w:rsidRPr="004E5652">
        <w:rPr>
          <w:rFonts w:eastAsia="Calibri"/>
          <w:sz w:val="22"/>
          <w:lang w:val="pl-PL"/>
        </w:rPr>
        <w:t xml:space="preserve">– </w:t>
      </w:r>
      <w:r w:rsidR="004672AF">
        <w:rPr>
          <w:rFonts w:eastAsia="Calibri"/>
          <w:sz w:val="22"/>
          <w:lang w:val="pl-PL"/>
        </w:rPr>
        <w:t xml:space="preserve">regulacja gospodarki wapniowo-fosforanowej u pacjentów dializowanych była realizowana w ramach dwóch programów lekowych: </w:t>
      </w:r>
      <w:r w:rsidRPr="004E5652">
        <w:rPr>
          <w:rFonts w:eastAsia="Calibri"/>
          <w:sz w:val="22"/>
          <w:lang w:val="pl-PL"/>
        </w:rPr>
        <w:t>„Leczenie wtórnej nadczynności przytarczyc u pacjentów</w:t>
      </w:r>
      <w:r w:rsidR="005C0217">
        <w:rPr>
          <w:rFonts w:eastAsia="Calibri"/>
          <w:sz w:val="22"/>
          <w:lang w:val="pl-PL"/>
        </w:rPr>
        <w:t xml:space="preserve"> </w:t>
      </w:r>
      <w:r w:rsidRPr="004E5652">
        <w:rPr>
          <w:rFonts w:eastAsia="Calibri"/>
          <w:sz w:val="22"/>
          <w:lang w:val="pl-PL"/>
        </w:rPr>
        <w:t>hemodializowanych”</w:t>
      </w:r>
      <w:r w:rsidR="004672AF">
        <w:rPr>
          <w:rFonts w:eastAsia="Calibri"/>
          <w:sz w:val="22"/>
          <w:lang w:val="pl-PL"/>
        </w:rPr>
        <w:t xml:space="preserve"> oraz „Leczenie </w:t>
      </w:r>
      <w:proofErr w:type="spellStart"/>
      <w:r w:rsidR="004672AF">
        <w:rPr>
          <w:rFonts w:eastAsia="Calibri"/>
          <w:sz w:val="22"/>
          <w:lang w:val="pl-PL"/>
        </w:rPr>
        <w:t>parykalcytolem</w:t>
      </w:r>
      <w:proofErr w:type="spellEnd"/>
      <w:r w:rsidR="004672AF">
        <w:rPr>
          <w:rFonts w:eastAsia="Calibri"/>
          <w:sz w:val="22"/>
          <w:lang w:val="pl-PL"/>
        </w:rPr>
        <w:t xml:space="preserve"> wtórnej nadczynności przytarczyc u pacjentów hemodializowanych”</w:t>
      </w:r>
      <w:r>
        <w:rPr>
          <w:rFonts w:eastAsia="Calibri"/>
          <w:sz w:val="22"/>
          <w:lang w:val="pl-PL"/>
        </w:rPr>
        <w:t xml:space="preserve">. </w:t>
      </w:r>
      <w:r w:rsidR="00F9019B">
        <w:rPr>
          <w:rFonts w:eastAsia="Calibri"/>
          <w:sz w:val="22"/>
          <w:lang w:val="pl-PL"/>
        </w:rPr>
        <w:t>Średni</w:t>
      </w:r>
      <w:r w:rsidR="00157B37">
        <w:rPr>
          <w:rFonts w:eastAsia="Calibri"/>
          <w:sz w:val="22"/>
          <w:lang w:val="pl-PL"/>
        </w:rPr>
        <w:t>a</w:t>
      </w:r>
      <w:r w:rsidR="00F9019B">
        <w:rPr>
          <w:rFonts w:eastAsia="Calibri"/>
          <w:sz w:val="22"/>
          <w:lang w:val="pl-PL"/>
        </w:rPr>
        <w:t xml:space="preserve"> wartość leczenia w programie lekowym na jednego pacjenta wyn</w:t>
      </w:r>
      <w:r w:rsidR="00157B37">
        <w:rPr>
          <w:rFonts w:eastAsia="Calibri"/>
          <w:sz w:val="22"/>
          <w:lang w:val="pl-PL"/>
        </w:rPr>
        <w:t>iosła</w:t>
      </w:r>
      <w:r w:rsidR="00F9019B">
        <w:rPr>
          <w:rFonts w:eastAsia="Calibri"/>
          <w:sz w:val="22"/>
          <w:lang w:val="pl-PL"/>
        </w:rPr>
        <w:t xml:space="preserve"> 9 400 PLN</w:t>
      </w:r>
      <w:r w:rsidR="00AB7423">
        <w:rPr>
          <w:rFonts w:eastAsia="Calibri"/>
          <w:sz w:val="22"/>
          <w:lang w:val="pl-PL"/>
        </w:rPr>
        <w:t xml:space="preserve"> rocznie</w:t>
      </w:r>
      <w:r w:rsidR="00AB3698">
        <w:rPr>
          <w:rFonts w:eastAsia="Calibri"/>
          <w:sz w:val="22"/>
          <w:lang w:val="pl-PL"/>
        </w:rPr>
        <w:t xml:space="preserve"> (</w:t>
      </w:r>
      <w:r w:rsidR="00AB3698">
        <w:rPr>
          <w:rFonts w:eastAsia="Calibri"/>
          <w:color w:val="000000" w:themeColor="text1"/>
          <w:sz w:val="22"/>
          <w:lang w:val="pl-PL"/>
        </w:rPr>
        <w:t>zgodnie z danymi pozyskanymi od wybranych świadczeniodawców)</w:t>
      </w:r>
    </w:p>
    <w:p w14:paraId="5DD1A6BE" w14:textId="33AB9E04" w:rsidR="000925A0" w:rsidRDefault="000925A0" w:rsidP="00F84B72">
      <w:pPr>
        <w:pStyle w:val="EYBulletedList1"/>
        <w:numPr>
          <w:ilvl w:val="1"/>
          <w:numId w:val="11"/>
        </w:numPr>
        <w:rPr>
          <w:rFonts w:eastAsia="Calibri"/>
          <w:b/>
          <w:sz w:val="22"/>
          <w:lang w:val="pl-PL"/>
        </w:rPr>
      </w:pPr>
      <w:r>
        <w:rPr>
          <w:rFonts w:eastAsia="Calibri"/>
          <w:b/>
          <w:sz w:val="22"/>
          <w:lang w:val="pl-PL"/>
        </w:rPr>
        <w:t>Porada nefrologiczna</w:t>
      </w:r>
      <w:r>
        <w:rPr>
          <w:rFonts w:eastAsia="Calibri"/>
          <w:sz w:val="22"/>
          <w:lang w:val="pl-PL"/>
        </w:rPr>
        <w:t xml:space="preserve"> – koszt jednej porady to 86 PLN (9,3 punktów x 9,20 PLN)</w:t>
      </w:r>
    </w:p>
    <w:p w14:paraId="7C134CCF" w14:textId="5883E133" w:rsidR="00CC6514" w:rsidRPr="004E5652" w:rsidRDefault="00CC6514" w:rsidP="00F84B72">
      <w:pPr>
        <w:pStyle w:val="EYBulletedList1"/>
        <w:numPr>
          <w:ilvl w:val="1"/>
          <w:numId w:val="11"/>
        </w:numPr>
        <w:rPr>
          <w:rFonts w:eastAsia="Calibri"/>
          <w:b/>
          <w:sz w:val="22"/>
          <w:lang w:val="pl-PL"/>
        </w:rPr>
      </w:pPr>
      <w:r w:rsidRPr="004E5652">
        <w:rPr>
          <w:rFonts w:eastAsia="Calibri"/>
          <w:b/>
          <w:sz w:val="22"/>
          <w:lang w:val="pl-PL"/>
        </w:rPr>
        <w:t>Zapewnienie wytworzenia dostępu naczyniowego lub otrzewnowego</w:t>
      </w:r>
      <w:r>
        <w:rPr>
          <w:rFonts w:eastAsia="Calibri"/>
          <w:b/>
          <w:sz w:val="22"/>
          <w:lang w:val="pl-PL"/>
        </w:rPr>
        <w:t xml:space="preserve"> </w:t>
      </w:r>
      <w:r w:rsidRPr="005C0217">
        <w:rPr>
          <w:rFonts w:eastAsia="Calibri"/>
          <w:sz w:val="22"/>
          <w:lang w:val="pl-PL"/>
        </w:rPr>
        <w:t xml:space="preserve">– </w:t>
      </w:r>
      <w:r>
        <w:rPr>
          <w:rFonts w:eastAsia="Calibri"/>
          <w:sz w:val="22"/>
          <w:lang w:val="pl-PL"/>
        </w:rPr>
        <w:t>3 328</w:t>
      </w:r>
      <w:r w:rsidRPr="005C0217">
        <w:rPr>
          <w:rFonts w:eastAsia="Calibri"/>
          <w:sz w:val="22"/>
          <w:lang w:val="pl-PL"/>
        </w:rPr>
        <w:t xml:space="preserve"> PLN</w:t>
      </w:r>
      <w:r>
        <w:rPr>
          <w:rFonts w:eastAsia="Calibri"/>
          <w:sz w:val="22"/>
          <w:lang w:val="pl-PL"/>
        </w:rPr>
        <w:t xml:space="preserve"> za wytworzenie </w:t>
      </w:r>
      <w:r w:rsidR="00A16630">
        <w:rPr>
          <w:rFonts w:eastAsia="Calibri"/>
          <w:sz w:val="22"/>
          <w:lang w:val="pl-PL"/>
        </w:rPr>
        <w:t>dostępu naczyniowego (procedura Q52)</w:t>
      </w:r>
    </w:p>
    <w:p w14:paraId="0B769903" w14:textId="40AD051C" w:rsidR="004E5652" w:rsidRPr="004E5652" w:rsidRDefault="00A16630" w:rsidP="00A16630">
      <w:pPr>
        <w:pStyle w:val="EYBulletedList1"/>
        <w:numPr>
          <w:ilvl w:val="1"/>
          <w:numId w:val="11"/>
        </w:numPr>
        <w:rPr>
          <w:rFonts w:eastAsia="Calibri"/>
          <w:b/>
          <w:sz w:val="22"/>
          <w:lang w:val="pl-PL"/>
        </w:rPr>
      </w:pPr>
      <w:r>
        <w:rPr>
          <w:rFonts w:eastAsia="Calibri"/>
          <w:b/>
          <w:sz w:val="22"/>
          <w:lang w:val="pl-PL"/>
        </w:rPr>
        <w:t xml:space="preserve">Wymiana </w:t>
      </w:r>
      <w:r w:rsidRPr="00A16630">
        <w:rPr>
          <w:rFonts w:eastAsia="Calibri"/>
          <w:b/>
          <w:sz w:val="22"/>
          <w:lang w:val="pl-PL"/>
        </w:rPr>
        <w:t xml:space="preserve">dostępów z powodu niewydolności dotychczasowego dostępu (wtórnych) </w:t>
      </w:r>
      <w:r w:rsidR="004E5652">
        <w:rPr>
          <w:rFonts w:eastAsia="Calibri"/>
          <w:sz w:val="22"/>
          <w:lang w:val="pl-PL"/>
        </w:rPr>
        <w:t xml:space="preserve"> –</w:t>
      </w:r>
      <w:r>
        <w:rPr>
          <w:rFonts w:eastAsia="Calibri"/>
          <w:sz w:val="22"/>
          <w:lang w:val="pl-PL"/>
        </w:rPr>
        <w:t xml:space="preserve"> 3 328</w:t>
      </w:r>
      <w:r w:rsidRPr="005C0217">
        <w:rPr>
          <w:rFonts w:eastAsia="Calibri"/>
          <w:sz w:val="22"/>
          <w:lang w:val="pl-PL"/>
        </w:rPr>
        <w:t xml:space="preserve"> PLN</w:t>
      </w:r>
      <w:r>
        <w:rPr>
          <w:rFonts w:eastAsia="Calibri"/>
          <w:sz w:val="22"/>
          <w:lang w:val="pl-PL"/>
        </w:rPr>
        <w:t xml:space="preserve"> za wytworzenie dostępu naczyniowego (procedura Q52)</w:t>
      </w:r>
      <w:r w:rsidR="00157B37">
        <w:rPr>
          <w:rFonts w:eastAsia="Calibri"/>
          <w:sz w:val="22"/>
          <w:lang w:val="pl-PL"/>
        </w:rPr>
        <w:t xml:space="preserve">. W skład procedury </w:t>
      </w:r>
      <w:r w:rsidR="00C37CC2">
        <w:rPr>
          <w:rFonts w:eastAsia="Calibri"/>
          <w:sz w:val="22"/>
          <w:lang w:val="pl-PL"/>
        </w:rPr>
        <w:t>wchodzą np.: u</w:t>
      </w:r>
      <w:r w:rsidR="00C37CC2" w:rsidRPr="00C37CC2">
        <w:rPr>
          <w:rFonts w:eastAsia="Calibri"/>
          <w:sz w:val="22"/>
          <w:lang w:val="pl-PL"/>
        </w:rPr>
        <w:t>drożnienie przetoki tętniczo-żylnej</w:t>
      </w:r>
      <w:r w:rsidR="00157B37">
        <w:rPr>
          <w:rFonts w:eastAsia="Calibri"/>
          <w:sz w:val="22"/>
          <w:lang w:val="pl-PL"/>
        </w:rPr>
        <w:t xml:space="preserve">, </w:t>
      </w:r>
      <w:r w:rsidR="00C37CC2">
        <w:rPr>
          <w:rFonts w:eastAsia="Calibri"/>
          <w:sz w:val="22"/>
          <w:lang w:val="pl-PL"/>
        </w:rPr>
        <w:t>u</w:t>
      </w:r>
      <w:r w:rsidR="00C37CC2" w:rsidRPr="00C37CC2">
        <w:rPr>
          <w:rFonts w:eastAsia="Calibri"/>
          <w:sz w:val="22"/>
          <w:lang w:val="pl-PL"/>
        </w:rPr>
        <w:t>sunięcie starego zespolenia tętniczo żylnego i wytworzenie nowej przetoki</w:t>
      </w:r>
      <w:r w:rsidR="00C37CC2">
        <w:rPr>
          <w:rFonts w:eastAsia="Calibri"/>
          <w:sz w:val="22"/>
          <w:lang w:val="pl-PL"/>
        </w:rPr>
        <w:t xml:space="preserve"> </w:t>
      </w:r>
    </w:p>
    <w:p w14:paraId="4B142A96" w14:textId="1457B714" w:rsidR="00A16630" w:rsidRPr="00060165" w:rsidRDefault="004E5652" w:rsidP="00F84B72">
      <w:pPr>
        <w:pStyle w:val="EYBulletedList1"/>
        <w:numPr>
          <w:ilvl w:val="1"/>
          <w:numId w:val="11"/>
        </w:numPr>
        <w:jc w:val="both"/>
        <w:rPr>
          <w:rFonts w:eastAsia="Calibri"/>
          <w:b/>
          <w:sz w:val="22"/>
          <w:lang w:val="pl-PL"/>
        </w:rPr>
      </w:pPr>
      <w:r w:rsidRPr="004E5652">
        <w:rPr>
          <w:rFonts w:eastAsia="Calibri"/>
          <w:b/>
          <w:sz w:val="22"/>
          <w:lang w:val="pl-PL"/>
        </w:rPr>
        <w:t>Leczenie powikłań leczenia nerkozastępczego</w:t>
      </w:r>
      <w:r w:rsidR="005C0217">
        <w:rPr>
          <w:rFonts w:eastAsia="Calibri"/>
          <w:b/>
          <w:sz w:val="22"/>
          <w:lang w:val="pl-PL"/>
        </w:rPr>
        <w:t xml:space="preserve"> </w:t>
      </w:r>
      <w:r w:rsidR="004672AF">
        <w:rPr>
          <w:rFonts w:eastAsia="Calibri"/>
          <w:b/>
          <w:sz w:val="22"/>
          <w:lang w:val="pl-PL"/>
        </w:rPr>
        <w:t xml:space="preserve">z tytułu powikłań dostępów </w:t>
      </w:r>
      <w:r w:rsidR="00A16630">
        <w:rPr>
          <w:rFonts w:eastAsia="Calibri"/>
          <w:b/>
          <w:sz w:val="22"/>
          <w:lang w:val="pl-PL"/>
        </w:rPr>
        <w:t xml:space="preserve">– przetok </w:t>
      </w:r>
      <w:r w:rsidR="005C0217" w:rsidRPr="005C0217">
        <w:rPr>
          <w:rFonts w:eastAsia="Calibri"/>
          <w:sz w:val="22"/>
          <w:lang w:val="pl-PL"/>
        </w:rPr>
        <w:t xml:space="preserve">– </w:t>
      </w:r>
      <w:r w:rsidR="002E6487">
        <w:rPr>
          <w:rFonts w:eastAsia="Calibri"/>
          <w:sz w:val="22"/>
          <w:lang w:val="pl-PL"/>
        </w:rPr>
        <w:t>uwzględnion</w:t>
      </w:r>
      <w:r w:rsidR="00A16630">
        <w:rPr>
          <w:rFonts w:eastAsia="Calibri"/>
          <w:sz w:val="22"/>
          <w:lang w:val="pl-PL"/>
        </w:rPr>
        <w:t>o:</w:t>
      </w:r>
    </w:p>
    <w:p w14:paraId="61384CCF" w14:textId="2A714451" w:rsidR="00A16630" w:rsidRPr="00060165" w:rsidRDefault="004672AF" w:rsidP="00060165">
      <w:pPr>
        <w:pStyle w:val="EYBulletedList1"/>
        <w:numPr>
          <w:ilvl w:val="2"/>
          <w:numId w:val="11"/>
        </w:numPr>
        <w:jc w:val="both"/>
        <w:rPr>
          <w:rFonts w:eastAsia="Calibri"/>
          <w:b/>
          <w:sz w:val="22"/>
          <w:lang w:val="pl-PL"/>
        </w:rPr>
      </w:pPr>
      <w:r>
        <w:rPr>
          <w:rFonts w:eastAsia="Calibri"/>
          <w:sz w:val="22"/>
          <w:lang w:val="pl-PL"/>
        </w:rPr>
        <w:t>średni</w:t>
      </w:r>
      <w:r w:rsidR="002E6487">
        <w:rPr>
          <w:rFonts w:eastAsia="Calibri"/>
          <w:sz w:val="22"/>
          <w:lang w:val="pl-PL"/>
        </w:rPr>
        <w:t>ą</w:t>
      </w:r>
      <w:r>
        <w:rPr>
          <w:rFonts w:eastAsia="Calibri"/>
          <w:sz w:val="22"/>
          <w:lang w:val="pl-PL"/>
        </w:rPr>
        <w:t xml:space="preserve"> wartość hospitalizacji z tytułu leczenia powikłań leczenia nerkozastępczego</w:t>
      </w:r>
      <w:r w:rsidR="002E6487">
        <w:rPr>
          <w:rFonts w:eastAsia="Calibri"/>
          <w:sz w:val="22"/>
          <w:lang w:val="pl-PL"/>
        </w:rPr>
        <w:t xml:space="preserve"> - </w:t>
      </w:r>
      <w:r w:rsidR="005C0217">
        <w:rPr>
          <w:rFonts w:eastAsia="Calibri"/>
          <w:sz w:val="22"/>
          <w:lang w:val="pl-PL"/>
        </w:rPr>
        <w:t>4</w:t>
      </w:r>
      <w:r w:rsidR="00157B37">
        <w:rPr>
          <w:rFonts w:eastAsia="Calibri"/>
          <w:sz w:val="22"/>
          <w:lang w:val="pl-PL"/>
        </w:rPr>
        <w:t> </w:t>
      </w:r>
      <w:r w:rsidR="005C0217">
        <w:rPr>
          <w:rFonts w:eastAsia="Calibri"/>
          <w:sz w:val="22"/>
          <w:lang w:val="pl-PL"/>
        </w:rPr>
        <w:t>409</w:t>
      </w:r>
      <w:r w:rsidR="00157B37">
        <w:rPr>
          <w:rFonts w:eastAsia="Calibri"/>
          <w:sz w:val="22"/>
          <w:lang w:val="pl-PL"/>
        </w:rPr>
        <w:t> </w:t>
      </w:r>
      <w:r w:rsidR="005C0217" w:rsidRPr="005C0217">
        <w:rPr>
          <w:rFonts w:eastAsia="Calibri"/>
          <w:sz w:val="22"/>
          <w:lang w:val="pl-PL"/>
        </w:rPr>
        <w:t>PLN</w:t>
      </w:r>
      <w:r w:rsidR="002700DD">
        <w:rPr>
          <w:rFonts w:eastAsia="Calibri"/>
          <w:sz w:val="22"/>
          <w:lang w:val="pl-PL"/>
        </w:rPr>
        <w:t xml:space="preserve"> (</w:t>
      </w:r>
      <w:r w:rsidR="00AB3698">
        <w:rPr>
          <w:rFonts w:eastAsia="Calibri"/>
          <w:sz w:val="22"/>
          <w:lang w:val="pl-PL"/>
        </w:rPr>
        <w:t xml:space="preserve"> przyjęto </w:t>
      </w:r>
      <w:r w:rsidR="002700DD">
        <w:rPr>
          <w:rFonts w:eastAsia="Calibri"/>
          <w:sz w:val="22"/>
          <w:lang w:val="pl-PL"/>
        </w:rPr>
        <w:t>50% powikłań)</w:t>
      </w:r>
      <w:r w:rsidR="00A16630">
        <w:rPr>
          <w:rFonts w:eastAsia="Calibri"/>
          <w:sz w:val="22"/>
          <w:lang w:val="pl-PL"/>
        </w:rPr>
        <w:t>, oraz</w:t>
      </w:r>
    </w:p>
    <w:p w14:paraId="5FD8CCA6" w14:textId="56568EB9" w:rsidR="004E5652" w:rsidRPr="00060165" w:rsidRDefault="002E6487" w:rsidP="00060165">
      <w:pPr>
        <w:pStyle w:val="EYBulletedList1"/>
        <w:numPr>
          <w:ilvl w:val="2"/>
          <w:numId w:val="11"/>
        </w:numPr>
        <w:jc w:val="both"/>
        <w:rPr>
          <w:rFonts w:eastAsia="Calibri"/>
          <w:b/>
          <w:sz w:val="22"/>
          <w:lang w:val="pl-PL"/>
        </w:rPr>
      </w:pPr>
      <w:r>
        <w:rPr>
          <w:rFonts w:eastAsia="Calibri"/>
          <w:sz w:val="22"/>
          <w:lang w:val="pl-PL"/>
        </w:rPr>
        <w:t xml:space="preserve">średnią wartość hospitalizacji z tytułu </w:t>
      </w:r>
      <w:proofErr w:type="spellStart"/>
      <w:r>
        <w:rPr>
          <w:rFonts w:eastAsia="Calibri"/>
          <w:sz w:val="22"/>
          <w:lang w:val="pl-PL"/>
        </w:rPr>
        <w:t>endowaskularnego</w:t>
      </w:r>
      <w:proofErr w:type="spellEnd"/>
      <w:r>
        <w:rPr>
          <w:rFonts w:eastAsia="Calibri"/>
          <w:sz w:val="22"/>
          <w:lang w:val="pl-PL"/>
        </w:rPr>
        <w:t xml:space="preserve"> udrożnienia przetoki dializacyjnej (ICD 9 39.427)</w:t>
      </w:r>
      <w:r w:rsidR="002700DD">
        <w:rPr>
          <w:rFonts w:eastAsia="Calibri"/>
          <w:sz w:val="22"/>
          <w:lang w:val="pl-PL"/>
        </w:rPr>
        <w:t xml:space="preserve"> (</w:t>
      </w:r>
      <w:r w:rsidR="00AB3698">
        <w:rPr>
          <w:rFonts w:eastAsia="Calibri"/>
          <w:sz w:val="22"/>
          <w:lang w:val="pl-PL"/>
        </w:rPr>
        <w:t xml:space="preserve">przyjęto </w:t>
      </w:r>
      <w:r w:rsidR="002700DD">
        <w:rPr>
          <w:rFonts w:eastAsia="Calibri"/>
          <w:sz w:val="22"/>
          <w:lang w:val="pl-PL"/>
        </w:rPr>
        <w:t>50% powikłań)</w:t>
      </w:r>
      <w:r>
        <w:rPr>
          <w:rFonts w:eastAsia="Calibri"/>
          <w:sz w:val="22"/>
          <w:lang w:val="pl-PL"/>
        </w:rPr>
        <w:t xml:space="preserve"> – 10 920 PLN</w:t>
      </w:r>
    </w:p>
    <w:p w14:paraId="0457B161" w14:textId="45C234E0" w:rsidR="002E6487" w:rsidRPr="005935B8" w:rsidRDefault="00A16630" w:rsidP="00BE14BA">
      <w:pPr>
        <w:pStyle w:val="EYBulletedList1"/>
        <w:numPr>
          <w:ilvl w:val="1"/>
          <w:numId w:val="11"/>
        </w:numPr>
        <w:jc w:val="both"/>
        <w:rPr>
          <w:rFonts w:eastAsia="Calibri"/>
          <w:b/>
          <w:sz w:val="22"/>
          <w:lang w:val="pl-PL"/>
        </w:rPr>
      </w:pPr>
      <w:r w:rsidRPr="004E5652">
        <w:rPr>
          <w:rFonts w:eastAsia="Calibri"/>
          <w:b/>
          <w:sz w:val="22"/>
          <w:lang w:val="pl-PL"/>
        </w:rPr>
        <w:t>Leczenie powikłań leczenia nerkozastępczego</w:t>
      </w:r>
      <w:r>
        <w:rPr>
          <w:rFonts w:eastAsia="Calibri"/>
          <w:b/>
          <w:sz w:val="22"/>
          <w:lang w:val="pl-PL"/>
        </w:rPr>
        <w:t xml:space="preserve"> z tytułu powikłań dostępów – cewników </w:t>
      </w:r>
      <w:r w:rsidR="002E6487" w:rsidRPr="00BE14BA">
        <w:rPr>
          <w:rFonts w:eastAsia="Calibri"/>
          <w:sz w:val="22"/>
          <w:lang w:val="pl-PL"/>
        </w:rPr>
        <w:t>– uwzględniono</w:t>
      </w:r>
      <w:r w:rsidR="002E6487" w:rsidRPr="005935B8">
        <w:rPr>
          <w:rFonts w:eastAsia="Calibri"/>
          <w:sz w:val="22"/>
          <w:lang w:val="pl-PL"/>
        </w:rPr>
        <w:t>:</w:t>
      </w:r>
    </w:p>
    <w:p w14:paraId="333C836C" w14:textId="0DDE5781" w:rsidR="002E6487" w:rsidRPr="003E0972" w:rsidRDefault="002E6487" w:rsidP="002E6487">
      <w:pPr>
        <w:pStyle w:val="EYBulletedList1"/>
        <w:numPr>
          <w:ilvl w:val="2"/>
          <w:numId w:val="11"/>
        </w:numPr>
        <w:jc w:val="both"/>
        <w:rPr>
          <w:rFonts w:eastAsia="Calibri"/>
          <w:b/>
          <w:sz w:val="22"/>
          <w:lang w:val="pl-PL"/>
        </w:rPr>
      </w:pPr>
      <w:r>
        <w:rPr>
          <w:rFonts w:eastAsia="Calibri"/>
          <w:sz w:val="22"/>
          <w:lang w:val="pl-PL"/>
        </w:rPr>
        <w:t>średnią wartość hospitalizacji z tytułu leczenia powikłań leczenia nerkozastępczego - 4 409 </w:t>
      </w:r>
      <w:r w:rsidRPr="005C0217">
        <w:rPr>
          <w:rFonts w:eastAsia="Calibri"/>
          <w:sz w:val="22"/>
          <w:lang w:val="pl-PL"/>
        </w:rPr>
        <w:t>PLN</w:t>
      </w:r>
      <w:r w:rsidR="002700DD">
        <w:rPr>
          <w:rFonts w:eastAsia="Calibri"/>
          <w:sz w:val="22"/>
          <w:lang w:val="pl-PL"/>
        </w:rPr>
        <w:t xml:space="preserve"> (</w:t>
      </w:r>
      <w:r w:rsidR="00AB3698">
        <w:rPr>
          <w:rFonts w:eastAsia="Calibri"/>
          <w:sz w:val="22"/>
          <w:lang w:val="pl-PL"/>
        </w:rPr>
        <w:t xml:space="preserve">przyjęto </w:t>
      </w:r>
      <w:r w:rsidR="002700DD">
        <w:rPr>
          <w:rFonts w:eastAsia="Calibri"/>
          <w:sz w:val="22"/>
          <w:lang w:val="pl-PL"/>
        </w:rPr>
        <w:t>90% powikłań)</w:t>
      </w:r>
      <w:r>
        <w:rPr>
          <w:rFonts w:eastAsia="Calibri"/>
          <w:sz w:val="22"/>
          <w:lang w:val="pl-PL"/>
        </w:rPr>
        <w:t>, oraz</w:t>
      </w:r>
    </w:p>
    <w:p w14:paraId="2A331274" w14:textId="25CF9ACD" w:rsidR="002E6487" w:rsidRPr="00BE14BA" w:rsidRDefault="002E6487" w:rsidP="00060165">
      <w:pPr>
        <w:pStyle w:val="EYBulletedList1"/>
        <w:numPr>
          <w:ilvl w:val="2"/>
          <w:numId w:val="11"/>
        </w:numPr>
        <w:jc w:val="both"/>
        <w:rPr>
          <w:rFonts w:eastAsia="Calibri"/>
          <w:b/>
          <w:sz w:val="22"/>
          <w:lang w:val="pl-PL"/>
        </w:rPr>
      </w:pPr>
      <w:r>
        <w:rPr>
          <w:rFonts w:eastAsia="Calibri"/>
          <w:sz w:val="22"/>
          <w:lang w:val="pl-PL"/>
        </w:rPr>
        <w:t xml:space="preserve">średnią wartość hospitalizacji z tytułu leczenia posocznicy </w:t>
      </w:r>
      <w:proofErr w:type="spellStart"/>
      <w:r>
        <w:rPr>
          <w:rFonts w:eastAsia="Calibri"/>
          <w:sz w:val="22"/>
          <w:lang w:val="pl-PL"/>
        </w:rPr>
        <w:t>odcewnikowej</w:t>
      </w:r>
      <w:proofErr w:type="spellEnd"/>
      <w:r>
        <w:rPr>
          <w:rFonts w:eastAsia="Calibri"/>
          <w:sz w:val="22"/>
          <w:lang w:val="pl-PL"/>
        </w:rPr>
        <w:t xml:space="preserve"> (JGP S53) </w:t>
      </w:r>
      <w:r w:rsidR="002700DD">
        <w:rPr>
          <w:rFonts w:eastAsia="Calibri"/>
          <w:sz w:val="22"/>
          <w:lang w:val="pl-PL"/>
        </w:rPr>
        <w:t>(</w:t>
      </w:r>
      <w:r w:rsidR="00AB3698">
        <w:rPr>
          <w:rFonts w:eastAsia="Calibri"/>
          <w:sz w:val="22"/>
          <w:lang w:val="pl-PL"/>
        </w:rPr>
        <w:t xml:space="preserve">przyjęto </w:t>
      </w:r>
      <w:r w:rsidR="002700DD">
        <w:rPr>
          <w:rFonts w:eastAsia="Calibri"/>
          <w:sz w:val="22"/>
          <w:lang w:val="pl-PL"/>
        </w:rPr>
        <w:t xml:space="preserve">10% powikłań) </w:t>
      </w:r>
      <w:r>
        <w:rPr>
          <w:rFonts w:eastAsia="Calibri"/>
          <w:sz w:val="22"/>
          <w:lang w:val="pl-PL"/>
        </w:rPr>
        <w:t>– 7 280 PLN</w:t>
      </w:r>
    </w:p>
    <w:p w14:paraId="1B2FDDDD" w14:textId="531210B3" w:rsidR="004E5652" w:rsidRPr="005C0217" w:rsidRDefault="00DC5BCD" w:rsidP="00F84B72">
      <w:pPr>
        <w:pStyle w:val="EYBulletedList1"/>
        <w:numPr>
          <w:ilvl w:val="1"/>
          <w:numId w:val="11"/>
        </w:numPr>
        <w:rPr>
          <w:rFonts w:eastAsia="Calibri"/>
          <w:sz w:val="22"/>
          <w:lang w:val="pl-PL"/>
        </w:rPr>
      </w:pPr>
      <w:r>
        <w:rPr>
          <w:rFonts w:eastAsia="Calibri"/>
          <w:b/>
          <w:sz w:val="22"/>
          <w:lang w:val="pl-PL"/>
        </w:rPr>
        <w:t>Przygotowanie do zgłoszenia</w:t>
      </w:r>
      <w:r w:rsidRPr="004E5652">
        <w:rPr>
          <w:rFonts w:eastAsia="Calibri"/>
          <w:b/>
          <w:sz w:val="22"/>
          <w:lang w:val="pl-PL"/>
        </w:rPr>
        <w:t xml:space="preserve"> </w:t>
      </w:r>
      <w:r w:rsidR="004E5652" w:rsidRPr="004E5652">
        <w:rPr>
          <w:rFonts w:eastAsia="Calibri"/>
          <w:b/>
          <w:sz w:val="22"/>
          <w:lang w:val="pl-PL"/>
        </w:rPr>
        <w:t>do przeszczepienia</w:t>
      </w:r>
      <w:r w:rsidR="005C0217">
        <w:rPr>
          <w:rFonts w:eastAsia="Calibri"/>
          <w:b/>
          <w:sz w:val="22"/>
          <w:lang w:val="pl-PL"/>
        </w:rPr>
        <w:t xml:space="preserve"> </w:t>
      </w:r>
      <w:r w:rsidR="005C0217" w:rsidRPr="005C0217">
        <w:rPr>
          <w:rFonts w:eastAsia="Calibri"/>
          <w:sz w:val="22"/>
          <w:lang w:val="pl-PL"/>
        </w:rPr>
        <w:t>– 2</w:t>
      </w:r>
      <w:r w:rsidR="005C0217">
        <w:rPr>
          <w:rFonts w:eastAsia="Calibri"/>
          <w:sz w:val="22"/>
          <w:lang w:val="pl-PL"/>
        </w:rPr>
        <w:t> 264</w:t>
      </w:r>
      <w:r w:rsidR="005C0217" w:rsidRPr="005C0217">
        <w:rPr>
          <w:rFonts w:eastAsia="Calibri"/>
          <w:sz w:val="22"/>
          <w:lang w:val="pl-PL"/>
        </w:rPr>
        <w:t xml:space="preserve"> PLN</w:t>
      </w:r>
      <w:r w:rsidR="005C0217">
        <w:rPr>
          <w:rFonts w:eastAsia="Calibri"/>
          <w:sz w:val="22"/>
          <w:lang w:val="pl-PL"/>
        </w:rPr>
        <w:t xml:space="preserve"> za badanie wstępne i 270 PLN za badania kontrolne</w:t>
      </w:r>
      <w:r w:rsidR="0015130A">
        <w:rPr>
          <w:rFonts w:eastAsia="Calibri"/>
          <w:sz w:val="22"/>
          <w:lang w:val="pl-PL"/>
        </w:rPr>
        <w:t xml:space="preserve"> oraz </w:t>
      </w:r>
      <w:r w:rsidR="006F5AD9">
        <w:rPr>
          <w:rFonts w:eastAsia="Calibri"/>
          <w:sz w:val="22"/>
          <w:lang w:val="pl-PL"/>
        </w:rPr>
        <w:t>86</w:t>
      </w:r>
      <w:r w:rsidR="0015130A">
        <w:rPr>
          <w:rFonts w:eastAsia="Calibri"/>
          <w:sz w:val="22"/>
          <w:lang w:val="pl-PL"/>
        </w:rPr>
        <w:t xml:space="preserve"> PLN za poradę związaną z kwalifikacją w poradni nefrologicz</w:t>
      </w:r>
      <w:r w:rsidR="006F5AD9">
        <w:rPr>
          <w:rFonts w:eastAsia="Calibri"/>
          <w:sz w:val="22"/>
          <w:lang w:val="pl-PL"/>
        </w:rPr>
        <w:t>n</w:t>
      </w:r>
      <w:r w:rsidR="0015130A">
        <w:rPr>
          <w:rFonts w:eastAsia="Calibri"/>
          <w:sz w:val="22"/>
          <w:lang w:val="pl-PL"/>
        </w:rPr>
        <w:t>ej</w:t>
      </w:r>
    </w:p>
    <w:p w14:paraId="165F2DCC" w14:textId="77777777" w:rsidR="00F36374" w:rsidRPr="005C0217" w:rsidRDefault="00262E3A" w:rsidP="00F84B72">
      <w:pPr>
        <w:pStyle w:val="EYBulletedList1"/>
        <w:numPr>
          <w:ilvl w:val="0"/>
          <w:numId w:val="11"/>
        </w:numPr>
        <w:jc w:val="both"/>
        <w:rPr>
          <w:rFonts w:eastAsia="Calibri"/>
          <w:sz w:val="22"/>
          <w:lang w:val="pl-PL"/>
        </w:rPr>
      </w:pPr>
      <w:r>
        <w:rPr>
          <w:rFonts w:eastAsia="Calibri"/>
          <w:sz w:val="22"/>
          <w:lang w:val="pl-PL"/>
        </w:rPr>
        <w:t>Ponadto p</w:t>
      </w:r>
      <w:r w:rsidR="005C0217">
        <w:rPr>
          <w:rFonts w:eastAsia="Calibri"/>
          <w:sz w:val="22"/>
          <w:lang w:val="pl-PL"/>
        </w:rPr>
        <w:t xml:space="preserve">rzyjęto następujące </w:t>
      </w:r>
      <w:r>
        <w:rPr>
          <w:rFonts w:eastAsia="Calibri"/>
          <w:sz w:val="22"/>
          <w:lang w:val="pl-PL"/>
        </w:rPr>
        <w:t>założenia</w:t>
      </w:r>
      <w:r w:rsidR="005C0217">
        <w:rPr>
          <w:rFonts w:eastAsia="Calibri"/>
          <w:sz w:val="22"/>
          <w:lang w:val="pl-PL"/>
        </w:rPr>
        <w:t>:</w:t>
      </w:r>
    </w:p>
    <w:p w14:paraId="5C6C9BA9" w14:textId="77777777" w:rsidR="00C37CC2" w:rsidRPr="004E62AC" w:rsidRDefault="00C37CC2" w:rsidP="00F84B72">
      <w:pPr>
        <w:pStyle w:val="EYBulletedList1"/>
        <w:numPr>
          <w:ilvl w:val="1"/>
          <w:numId w:val="11"/>
        </w:numPr>
        <w:jc w:val="both"/>
        <w:rPr>
          <w:rFonts w:eastAsia="Calibri"/>
          <w:color w:val="FF0000"/>
          <w:sz w:val="22"/>
          <w:lang w:val="pl-PL"/>
        </w:rPr>
      </w:pPr>
      <w:r w:rsidRPr="00FF3A4A">
        <w:rPr>
          <w:rFonts w:eastAsia="Calibri"/>
          <w:b/>
          <w:sz w:val="22"/>
          <w:lang w:val="pl-PL"/>
        </w:rPr>
        <w:t xml:space="preserve">Regulacja gospodarki </w:t>
      </w:r>
      <w:r w:rsidRPr="00D272B8">
        <w:rPr>
          <w:rFonts w:eastAsia="Calibri"/>
          <w:b/>
          <w:sz w:val="22"/>
          <w:lang w:val="pl-PL"/>
        </w:rPr>
        <w:t xml:space="preserve">wapniowo-fosforanowej </w:t>
      </w:r>
      <w:r w:rsidR="00512A13">
        <w:rPr>
          <w:rFonts w:eastAsia="Calibri"/>
          <w:color w:val="000000" w:themeColor="text1"/>
          <w:sz w:val="22"/>
          <w:lang w:val="pl-PL"/>
        </w:rPr>
        <w:t>– zgodnie z danymi pozyskanymi od świadczeniodawców odpowiedzialnych za ok</w:t>
      </w:r>
      <w:r w:rsidR="00157B37">
        <w:rPr>
          <w:rFonts w:eastAsia="Calibri"/>
          <w:color w:val="000000" w:themeColor="text1"/>
          <w:sz w:val="22"/>
          <w:lang w:val="pl-PL"/>
        </w:rPr>
        <w:t>.</w:t>
      </w:r>
      <w:r w:rsidR="00512A13">
        <w:rPr>
          <w:rFonts w:eastAsia="Calibri"/>
          <w:color w:val="000000" w:themeColor="text1"/>
          <w:sz w:val="22"/>
          <w:lang w:val="pl-PL"/>
        </w:rPr>
        <w:t xml:space="preserve"> 30% pacjentów dializowanych</w:t>
      </w:r>
      <w:r w:rsidR="00157B37">
        <w:rPr>
          <w:rFonts w:eastAsia="Calibri"/>
          <w:color w:val="000000" w:themeColor="text1"/>
          <w:sz w:val="22"/>
          <w:lang w:val="pl-PL"/>
        </w:rPr>
        <w:t>,</w:t>
      </w:r>
      <w:r w:rsidR="00512A13">
        <w:rPr>
          <w:rFonts w:eastAsia="Calibri"/>
          <w:color w:val="000000" w:themeColor="text1"/>
          <w:sz w:val="22"/>
          <w:lang w:val="pl-PL"/>
        </w:rPr>
        <w:t xml:space="preserve"> </w:t>
      </w:r>
      <w:r w:rsidR="00512A13" w:rsidRPr="00512A13">
        <w:rPr>
          <w:rFonts w:eastAsia="Calibri"/>
          <w:color w:val="000000" w:themeColor="text1"/>
          <w:sz w:val="22"/>
          <w:lang w:val="pl-PL"/>
        </w:rPr>
        <w:t>15%</w:t>
      </w:r>
      <w:r w:rsidRPr="00512A13">
        <w:rPr>
          <w:rFonts w:eastAsia="Calibri"/>
          <w:color w:val="000000" w:themeColor="text1"/>
          <w:sz w:val="22"/>
          <w:lang w:val="pl-PL"/>
        </w:rPr>
        <w:t xml:space="preserve"> pacjentów d</w:t>
      </w:r>
      <w:r w:rsidR="00512A13" w:rsidRPr="00512A13">
        <w:rPr>
          <w:rFonts w:eastAsia="Calibri"/>
          <w:color w:val="000000" w:themeColor="text1"/>
          <w:sz w:val="22"/>
          <w:lang w:val="pl-PL"/>
        </w:rPr>
        <w:t>ializowanych korzysta z programów lekowych w zakresie leczenia</w:t>
      </w:r>
      <w:r w:rsidRPr="00512A13">
        <w:rPr>
          <w:rFonts w:eastAsia="Calibri"/>
          <w:color w:val="000000" w:themeColor="text1"/>
          <w:sz w:val="22"/>
          <w:lang w:val="pl-PL"/>
        </w:rPr>
        <w:t xml:space="preserve"> wtórnej nadczynności przytarczyc </w:t>
      </w:r>
    </w:p>
    <w:p w14:paraId="4D9C9735" w14:textId="77777777" w:rsidR="000F0917" w:rsidRPr="004E62AC" w:rsidRDefault="000F0917" w:rsidP="000F0917">
      <w:pPr>
        <w:pStyle w:val="EYBulletedList1"/>
        <w:numPr>
          <w:ilvl w:val="1"/>
          <w:numId w:val="11"/>
        </w:numPr>
        <w:rPr>
          <w:rFonts w:eastAsia="Calibri"/>
          <w:b/>
          <w:color w:val="000000" w:themeColor="text1"/>
          <w:sz w:val="22"/>
          <w:lang w:val="pl-PL"/>
        </w:rPr>
      </w:pPr>
      <w:r w:rsidRPr="004E5652">
        <w:rPr>
          <w:rFonts w:eastAsia="Calibri"/>
          <w:b/>
          <w:sz w:val="22"/>
          <w:lang w:val="pl-PL"/>
        </w:rPr>
        <w:t>Zapewnienie wytworzenia dostępu naczyniowego lub otrzewnowego</w:t>
      </w:r>
      <w:r>
        <w:rPr>
          <w:rFonts w:eastAsia="Calibri"/>
          <w:b/>
          <w:sz w:val="22"/>
          <w:lang w:val="pl-PL"/>
        </w:rPr>
        <w:t xml:space="preserve"> </w:t>
      </w:r>
      <w:r w:rsidRPr="005C0217">
        <w:rPr>
          <w:rFonts w:eastAsia="Calibri"/>
          <w:sz w:val="22"/>
          <w:lang w:val="pl-PL"/>
        </w:rPr>
        <w:t xml:space="preserve">– </w:t>
      </w:r>
      <w:r w:rsidRPr="0023254B">
        <w:rPr>
          <w:rFonts w:eastAsia="Calibri"/>
          <w:sz w:val="22"/>
          <w:lang w:val="pl-PL"/>
        </w:rPr>
        <w:t>zgodnie z wynikami ankiety przeprowadzonej wśród świadczeniodawców</w:t>
      </w:r>
      <w:r>
        <w:rPr>
          <w:rFonts w:eastAsia="Calibri"/>
          <w:sz w:val="22"/>
          <w:lang w:val="pl-PL"/>
        </w:rPr>
        <w:t xml:space="preserve"> odpowiedzialnych za ok</w:t>
      </w:r>
      <w:r w:rsidR="00157B37">
        <w:rPr>
          <w:rFonts w:eastAsia="Calibri"/>
          <w:sz w:val="22"/>
          <w:lang w:val="pl-PL"/>
        </w:rPr>
        <w:t>.</w:t>
      </w:r>
      <w:r>
        <w:rPr>
          <w:rFonts w:eastAsia="Calibri"/>
          <w:sz w:val="22"/>
          <w:lang w:val="pl-PL"/>
        </w:rPr>
        <w:t xml:space="preserve"> 30% pacjentów </w:t>
      </w:r>
      <w:r w:rsidRPr="004E62AC">
        <w:rPr>
          <w:rFonts w:eastAsia="Calibri"/>
          <w:color w:val="000000" w:themeColor="text1"/>
          <w:sz w:val="22"/>
          <w:lang w:val="pl-PL"/>
        </w:rPr>
        <w:t xml:space="preserve">dializowanych, </w:t>
      </w:r>
      <w:r>
        <w:rPr>
          <w:rFonts w:eastAsia="Calibri"/>
          <w:color w:val="000000" w:themeColor="text1"/>
          <w:sz w:val="22"/>
          <w:lang w:val="pl-PL"/>
        </w:rPr>
        <w:t>53</w:t>
      </w:r>
      <w:r w:rsidRPr="004E62AC">
        <w:rPr>
          <w:rFonts w:eastAsia="Calibri"/>
          <w:color w:val="000000" w:themeColor="text1"/>
          <w:sz w:val="22"/>
          <w:lang w:val="pl-PL"/>
        </w:rPr>
        <w:t xml:space="preserve">% pacjentów otrzymuje dostęp naczyniowy w formie przetoki, a </w:t>
      </w:r>
      <w:r>
        <w:rPr>
          <w:rFonts w:eastAsia="Calibri"/>
          <w:color w:val="000000" w:themeColor="text1"/>
          <w:sz w:val="22"/>
          <w:lang w:val="pl-PL"/>
        </w:rPr>
        <w:t>47</w:t>
      </w:r>
      <w:r w:rsidRPr="004E62AC">
        <w:rPr>
          <w:rFonts w:eastAsia="Calibri"/>
          <w:color w:val="000000" w:themeColor="text1"/>
          <w:sz w:val="22"/>
          <w:lang w:val="pl-PL"/>
        </w:rPr>
        <w:t>% w formie cewnika</w:t>
      </w:r>
    </w:p>
    <w:p w14:paraId="05443AD5" w14:textId="27DE883F" w:rsidR="005C07BF" w:rsidRPr="00307122" w:rsidRDefault="005C07BF" w:rsidP="005C07BF">
      <w:pPr>
        <w:pStyle w:val="EYBulletedList1"/>
        <w:numPr>
          <w:ilvl w:val="1"/>
          <w:numId w:val="11"/>
        </w:numPr>
        <w:rPr>
          <w:rFonts w:eastAsia="Calibri"/>
          <w:b/>
          <w:sz w:val="22"/>
          <w:lang w:val="pl-PL"/>
        </w:rPr>
      </w:pPr>
      <w:r>
        <w:rPr>
          <w:rFonts w:eastAsia="Calibri"/>
          <w:b/>
          <w:sz w:val="22"/>
          <w:lang w:val="pl-PL"/>
        </w:rPr>
        <w:t>Porada nefrologiczna</w:t>
      </w:r>
      <w:r>
        <w:rPr>
          <w:rFonts w:eastAsia="Calibri"/>
          <w:sz w:val="22"/>
          <w:lang w:val="pl-PL"/>
        </w:rPr>
        <w:t xml:space="preserve"> – przyjęto, że w modelu aktualnym, pacjenci korzystają średnio z jednej porady w roku</w:t>
      </w:r>
    </w:p>
    <w:p w14:paraId="17DEB792" w14:textId="21B43FAC" w:rsidR="002E6487" w:rsidRDefault="002E6487" w:rsidP="00F84B72">
      <w:pPr>
        <w:pStyle w:val="EYBulletedList1"/>
        <w:numPr>
          <w:ilvl w:val="1"/>
          <w:numId w:val="11"/>
        </w:numPr>
        <w:jc w:val="both"/>
        <w:rPr>
          <w:rFonts w:eastAsia="Calibri"/>
          <w:sz w:val="22"/>
          <w:lang w:val="pl-PL"/>
        </w:rPr>
      </w:pPr>
      <w:r>
        <w:rPr>
          <w:rFonts w:eastAsia="Calibri"/>
          <w:b/>
          <w:sz w:val="22"/>
          <w:lang w:val="pl-PL"/>
        </w:rPr>
        <w:lastRenderedPageBreak/>
        <w:t xml:space="preserve">Wymiana </w:t>
      </w:r>
      <w:r w:rsidRPr="00A16630">
        <w:rPr>
          <w:rFonts w:eastAsia="Calibri"/>
          <w:b/>
          <w:sz w:val="22"/>
          <w:lang w:val="pl-PL"/>
        </w:rPr>
        <w:t xml:space="preserve">dostępów z powodu niewydolności dotychczasowego dostępu (wtórnych) </w:t>
      </w:r>
      <w:r>
        <w:rPr>
          <w:rFonts w:eastAsia="Calibri"/>
          <w:sz w:val="22"/>
          <w:lang w:val="pl-PL"/>
        </w:rPr>
        <w:t xml:space="preserve"> </w:t>
      </w:r>
      <w:r w:rsidR="005C0217" w:rsidRPr="004E62AC">
        <w:rPr>
          <w:rFonts w:eastAsia="Calibri"/>
          <w:b/>
          <w:sz w:val="22"/>
          <w:lang w:val="pl-PL"/>
        </w:rPr>
        <w:t xml:space="preserve"> </w:t>
      </w:r>
      <w:r w:rsidR="005C0217" w:rsidRPr="00FF3A4A">
        <w:rPr>
          <w:rFonts w:eastAsia="Calibri"/>
          <w:sz w:val="22"/>
          <w:lang w:val="pl-PL"/>
        </w:rPr>
        <w:t xml:space="preserve">– </w:t>
      </w:r>
      <w:r w:rsidR="00C37CC2" w:rsidRPr="00D272B8">
        <w:rPr>
          <w:rFonts w:eastAsia="Calibri"/>
          <w:sz w:val="22"/>
          <w:lang w:val="pl-PL"/>
        </w:rPr>
        <w:t>zgodnie z wynikami ankiety przeprowadzonej wśród świadczeniodawców</w:t>
      </w:r>
      <w:r w:rsidR="00C37CC2">
        <w:rPr>
          <w:rFonts w:eastAsia="Calibri"/>
          <w:sz w:val="22"/>
          <w:lang w:val="pl-PL"/>
        </w:rPr>
        <w:t xml:space="preserve"> odpowiedzialnych za ok</w:t>
      </w:r>
      <w:r w:rsidR="00157B37">
        <w:rPr>
          <w:rFonts w:eastAsia="Calibri"/>
          <w:sz w:val="22"/>
          <w:lang w:val="pl-PL"/>
        </w:rPr>
        <w:t>.</w:t>
      </w:r>
      <w:r w:rsidR="00C37CC2">
        <w:rPr>
          <w:rFonts w:eastAsia="Calibri"/>
          <w:sz w:val="22"/>
          <w:lang w:val="pl-PL"/>
        </w:rPr>
        <w:t xml:space="preserve"> 30% pacjentów dializowanych</w:t>
      </w:r>
      <w:r>
        <w:rPr>
          <w:rFonts w:eastAsia="Calibri"/>
          <w:sz w:val="22"/>
          <w:lang w:val="pl-PL"/>
        </w:rPr>
        <w:t>:</w:t>
      </w:r>
    </w:p>
    <w:p w14:paraId="0B61ACEA" w14:textId="5AF57F97" w:rsidR="005C0217" w:rsidRDefault="002E6487" w:rsidP="00060165">
      <w:pPr>
        <w:pStyle w:val="EYBulletedList1"/>
        <w:numPr>
          <w:ilvl w:val="2"/>
          <w:numId w:val="11"/>
        </w:numPr>
        <w:jc w:val="both"/>
        <w:rPr>
          <w:rFonts w:eastAsia="Calibri"/>
          <w:sz w:val="22"/>
          <w:lang w:val="pl-PL"/>
        </w:rPr>
      </w:pPr>
      <w:r>
        <w:rPr>
          <w:rFonts w:eastAsia="Calibri"/>
          <w:sz w:val="22"/>
          <w:lang w:val="pl-PL"/>
        </w:rPr>
        <w:t>9,6</w:t>
      </w:r>
      <w:r w:rsidR="005C0217" w:rsidRPr="004E62AC">
        <w:rPr>
          <w:rFonts w:eastAsia="Calibri"/>
          <w:sz w:val="22"/>
          <w:lang w:val="pl-PL"/>
        </w:rPr>
        <w:t>% pacjentów</w:t>
      </w:r>
      <w:r>
        <w:rPr>
          <w:rFonts w:eastAsia="Calibri"/>
          <w:sz w:val="22"/>
          <w:lang w:val="pl-PL"/>
        </w:rPr>
        <w:t xml:space="preserve"> z przetokami </w:t>
      </w:r>
      <w:r w:rsidR="005C0217" w:rsidRPr="004E62AC">
        <w:rPr>
          <w:rFonts w:eastAsia="Calibri"/>
          <w:sz w:val="22"/>
          <w:lang w:val="pl-PL"/>
        </w:rPr>
        <w:t xml:space="preserve">wymaga </w:t>
      </w:r>
      <w:r w:rsidR="00AF4DC2">
        <w:rPr>
          <w:rFonts w:eastAsia="Calibri"/>
          <w:sz w:val="22"/>
          <w:lang w:val="pl-PL"/>
        </w:rPr>
        <w:t>wymiany</w:t>
      </w:r>
      <w:r w:rsidR="00AF4DC2" w:rsidRPr="004E62AC">
        <w:rPr>
          <w:rFonts w:eastAsia="Calibri"/>
          <w:sz w:val="22"/>
          <w:lang w:val="pl-PL"/>
        </w:rPr>
        <w:t xml:space="preserve"> </w:t>
      </w:r>
      <w:r w:rsidR="005C0217" w:rsidRPr="004E62AC">
        <w:rPr>
          <w:rFonts w:eastAsia="Calibri"/>
          <w:sz w:val="22"/>
          <w:lang w:val="pl-PL"/>
        </w:rPr>
        <w:t>dostęp</w:t>
      </w:r>
      <w:r w:rsidR="002008B5">
        <w:rPr>
          <w:rFonts w:eastAsia="Calibri"/>
          <w:sz w:val="22"/>
          <w:lang w:val="pl-PL"/>
        </w:rPr>
        <w:t>u</w:t>
      </w:r>
      <w:r w:rsidR="005C0217" w:rsidRPr="004E62AC">
        <w:rPr>
          <w:rFonts w:eastAsia="Calibri"/>
          <w:sz w:val="22"/>
          <w:lang w:val="pl-PL"/>
        </w:rPr>
        <w:t xml:space="preserve"> w ciągu roku</w:t>
      </w:r>
    </w:p>
    <w:p w14:paraId="16559F35" w14:textId="172CAA6F" w:rsidR="002E6487" w:rsidRPr="00BE14BA" w:rsidRDefault="002E6487" w:rsidP="00060165">
      <w:pPr>
        <w:pStyle w:val="EYBulletedList1"/>
        <w:numPr>
          <w:ilvl w:val="2"/>
          <w:numId w:val="11"/>
        </w:numPr>
        <w:jc w:val="both"/>
        <w:rPr>
          <w:rFonts w:eastAsia="Calibri"/>
          <w:sz w:val="22"/>
          <w:lang w:val="pl-PL"/>
        </w:rPr>
      </w:pPr>
      <w:r>
        <w:rPr>
          <w:rFonts w:eastAsia="Calibri"/>
          <w:sz w:val="22"/>
          <w:lang w:val="pl-PL"/>
        </w:rPr>
        <w:t xml:space="preserve">15,6% </w:t>
      </w:r>
      <w:r w:rsidRPr="004E62AC">
        <w:rPr>
          <w:rFonts w:eastAsia="Calibri"/>
          <w:sz w:val="22"/>
          <w:lang w:val="pl-PL"/>
        </w:rPr>
        <w:t>pacjentów</w:t>
      </w:r>
      <w:r>
        <w:rPr>
          <w:rFonts w:eastAsia="Calibri"/>
          <w:sz w:val="22"/>
          <w:lang w:val="pl-PL"/>
        </w:rPr>
        <w:t xml:space="preserve"> z cewnikami </w:t>
      </w:r>
      <w:r w:rsidRPr="004E62AC">
        <w:rPr>
          <w:rFonts w:eastAsia="Calibri"/>
          <w:sz w:val="22"/>
          <w:lang w:val="pl-PL"/>
        </w:rPr>
        <w:t xml:space="preserve">wymaga </w:t>
      </w:r>
      <w:r w:rsidR="00AF4DC2">
        <w:rPr>
          <w:rFonts w:eastAsia="Calibri"/>
          <w:sz w:val="22"/>
          <w:lang w:val="pl-PL"/>
        </w:rPr>
        <w:t>wymiany</w:t>
      </w:r>
      <w:r w:rsidR="00AF4DC2" w:rsidRPr="004E62AC">
        <w:rPr>
          <w:rFonts w:eastAsia="Calibri"/>
          <w:sz w:val="22"/>
          <w:lang w:val="pl-PL"/>
        </w:rPr>
        <w:t xml:space="preserve"> </w:t>
      </w:r>
      <w:r w:rsidRPr="004E62AC">
        <w:rPr>
          <w:rFonts w:eastAsia="Calibri"/>
          <w:sz w:val="22"/>
          <w:lang w:val="pl-PL"/>
        </w:rPr>
        <w:t>dostęp</w:t>
      </w:r>
      <w:r w:rsidR="002008B5">
        <w:rPr>
          <w:rFonts w:eastAsia="Calibri"/>
          <w:sz w:val="22"/>
          <w:lang w:val="pl-PL"/>
        </w:rPr>
        <w:t>u</w:t>
      </w:r>
      <w:r w:rsidRPr="004E62AC">
        <w:rPr>
          <w:rFonts w:eastAsia="Calibri"/>
          <w:sz w:val="22"/>
          <w:lang w:val="pl-PL"/>
        </w:rPr>
        <w:t xml:space="preserve"> w ciągu roku</w:t>
      </w:r>
    </w:p>
    <w:p w14:paraId="3A1A0FB6" w14:textId="77777777" w:rsidR="002E6487" w:rsidRPr="00060165" w:rsidRDefault="005C0217" w:rsidP="00F84B72">
      <w:pPr>
        <w:pStyle w:val="EYBulletedList1"/>
        <w:numPr>
          <w:ilvl w:val="1"/>
          <w:numId w:val="11"/>
        </w:numPr>
        <w:jc w:val="both"/>
        <w:rPr>
          <w:rFonts w:eastAsia="Calibri"/>
          <w:b/>
          <w:sz w:val="22"/>
          <w:lang w:val="pl-PL"/>
        </w:rPr>
      </w:pPr>
      <w:r w:rsidRPr="004E5652">
        <w:rPr>
          <w:rFonts w:eastAsia="Calibri"/>
          <w:b/>
          <w:sz w:val="22"/>
          <w:lang w:val="pl-PL"/>
        </w:rPr>
        <w:t>Leczenie powikłań leczenia nerkozastępczego</w:t>
      </w:r>
      <w:r w:rsidR="00C37CC2">
        <w:rPr>
          <w:rFonts w:eastAsia="Calibri"/>
          <w:b/>
          <w:sz w:val="22"/>
          <w:lang w:val="pl-PL"/>
        </w:rPr>
        <w:t xml:space="preserve"> z tytułu powikłań dostępów </w:t>
      </w:r>
      <w:r>
        <w:rPr>
          <w:rFonts w:eastAsia="Calibri"/>
          <w:b/>
          <w:sz w:val="22"/>
          <w:lang w:val="pl-PL"/>
        </w:rPr>
        <w:t xml:space="preserve"> </w:t>
      </w:r>
      <w:r w:rsidRPr="005C0217">
        <w:rPr>
          <w:rFonts w:eastAsia="Calibri"/>
          <w:sz w:val="22"/>
          <w:lang w:val="pl-PL"/>
        </w:rPr>
        <w:t xml:space="preserve">– </w:t>
      </w:r>
      <w:r w:rsidR="00C37CC2" w:rsidRPr="0023254B">
        <w:rPr>
          <w:rFonts w:eastAsia="Calibri"/>
          <w:sz w:val="22"/>
          <w:lang w:val="pl-PL"/>
        </w:rPr>
        <w:t>zgodnie z wynikami ankiety przeprowadzonej wśród świadczeniodawców</w:t>
      </w:r>
      <w:r w:rsidR="00C37CC2">
        <w:rPr>
          <w:rFonts w:eastAsia="Calibri"/>
          <w:sz w:val="22"/>
          <w:lang w:val="pl-PL"/>
        </w:rPr>
        <w:t xml:space="preserve"> odpowiedzialnych za ok</w:t>
      </w:r>
      <w:r w:rsidR="00157B37">
        <w:rPr>
          <w:rFonts w:eastAsia="Calibri"/>
          <w:sz w:val="22"/>
          <w:lang w:val="pl-PL"/>
        </w:rPr>
        <w:t>.</w:t>
      </w:r>
      <w:r w:rsidR="00C37CC2">
        <w:rPr>
          <w:rFonts w:eastAsia="Calibri"/>
          <w:sz w:val="22"/>
          <w:lang w:val="pl-PL"/>
        </w:rPr>
        <w:t xml:space="preserve"> 30% pacjentów dializowanych</w:t>
      </w:r>
      <w:r w:rsidR="002E6487">
        <w:rPr>
          <w:rFonts w:eastAsia="Calibri"/>
          <w:sz w:val="22"/>
          <w:lang w:val="pl-PL"/>
        </w:rPr>
        <w:t>:</w:t>
      </w:r>
    </w:p>
    <w:p w14:paraId="3D334C9F" w14:textId="2E4790AF" w:rsidR="005C0217" w:rsidRPr="00060165" w:rsidRDefault="002E6487" w:rsidP="00060165">
      <w:pPr>
        <w:pStyle w:val="EYBulletedList1"/>
        <w:numPr>
          <w:ilvl w:val="2"/>
          <w:numId w:val="11"/>
        </w:numPr>
        <w:jc w:val="both"/>
        <w:rPr>
          <w:rFonts w:eastAsia="Calibri"/>
          <w:b/>
          <w:sz w:val="22"/>
          <w:lang w:val="pl-PL"/>
        </w:rPr>
      </w:pPr>
      <w:r>
        <w:rPr>
          <w:rFonts w:eastAsia="Calibri"/>
          <w:sz w:val="22"/>
          <w:lang w:val="pl-PL"/>
        </w:rPr>
        <w:t>12,</w:t>
      </w:r>
      <w:r w:rsidR="00C37CC2" w:rsidRPr="004E62AC">
        <w:rPr>
          <w:rFonts w:eastAsia="Calibri"/>
          <w:color w:val="000000" w:themeColor="text1"/>
          <w:sz w:val="22"/>
          <w:lang w:val="pl-PL"/>
        </w:rPr>
        <w:t>8</w:t>
      </w:r>
      <w:r w:rsidR="008C1046" w:rsidRPr="004E62AC">
        <w:rPr>
          <w:rFonts w:eastAsia="Calibri"/>
          <w:color w:val="000000" w:themeColor="text1"/>
          <w:sz w:val="22"/>
          <w:lang w:val="pl-PL"/>
        </w:rPr>
        <w:t xml:space="preserve">% </w:t>
      </w:r>
      <w:r w:rsidR="00C37CC2">
        <w:rPr>
          <w:rFonts w:eastAsia="Calibri"/>
          <w:sz w:val="22"/>
          <w:lang w:val="pl-PL"/>
        </w:rPr>
        <w:t xml:space="preserve">pacjentów </w:t>
      </w:r>
      <w:r>
        <w:rPr>
          <w:rFonts w:eastAsia="Calibri"/>
          <w:sz w:val="22"/>
          <w:lang w:val="pl-PL"/>
        </w:rPr>
        <w:t xml:space="preserve">z przetokami </w:t>
      </w:r>
      <w:r w:rsidR="008C1046">
        <w:rPr>
          <w:rFonts w:eastAsia="Calibri"/>
          <w:sz w:val="22"/>
          <w:lang w:val="pl-PL"/>
        </w:rPr>
        <w:t>jest hospitalizowanych w związku z powikłaniami leczenia nerkozastępczego</w:t>
      </w:r>
      <w:r w:rsidR="00C37CC2">
        <w:rPr>
          <w:rFonts w:eastAsia="Calibri"/>
          <w:sz w:val="22"/>
          <w:lang w:val="pl-PL"/>
        </w:rPr>
        <w:t xml:space="preserve"> </w:t>
      </w:r>
      <w:r w:rsidR="00C37CC2" w:rsidRPr="00C37CC2">
        <w:rPr>
          <w:rFonts w:eastAsia="Calibri"/>
          <w:sz w:val="22"/>
          <w:lang w:val="pl-PL"/>
        </w:rPr>
        <w:t>z tytułu powikłań dostępów</w:t>
      </w:r>
    </w:p>
    <w:p w14:paraId="73717787" w14:textId="10F8820F" w:rsidR="002E6487" w:rsidRPr="00BE14BA" w:rsidRDefault="002E6487" w:rsidP="00060165">
      <w:pPr>
        <w:pStyle w:val="EYBulletedList1"/>
        <w:numPr>
          <w:ilvl w:val="2"/>
          <w:numId w:val="11"/>
        </w:numPr>
        <w:jc w:val="both"/>
        <w:rPr>
          <w:rFonts w:eastAsia="Calibri"/>
          <w:b/>
          <w:sz w:val="22"/>
          <w:lang w:val="pl-PL"/>
        </w:rPr>
      </w:pPr>
      <w:r>
        <w:rPr>
          <w:rFonts w:eastAsia="Calibri"/>
          <w:color w:val="000000" w:themeColor="text1"/>
          <w:sz w:val="22"/>
          <w:lang w:val="pl-PL"/>
        </w:rPr>
        <w:t>3,4</w:t>
      </w:r>
      <w:r w:rsidRPr="004E62AC">
        <w:rPr>
          <w:rFonts w:eastAsia="Calibri"/>
          <w:color w:val="000000" w:themeColor="text1"/>
          <w:sz w:val="22"/>
          <w:lang w:val="pl-PL"/>
        </w:rPr>
        <w:t xml:space="preserve">% </w:t>
      </w:r>
      <w:r>
        <w:rPr>
          <w:rFonts w:eastAsia="Calibri"/>
          <w:sz w:val="22"/>
          <w:lang w:val="pl-PL"/>
        </w:rPr>
        <w:t xml:space="preserve">pacjentów z cewnikami jest hospitalizowanych w związku z powikłaniami leczenia nerkozastępczego </w:t>
      </w:r>
      <w:r w:rsidRPr="00C37CC2">
        <w:rPr>
          <w:rFonts w:eastAsia="Calibri"/>
          <w:sz w:val="22"/>
          <w:lang w:val="pl-PL"/>
        </w:rPr>
        <w:t>z tytułu powikłań dostępów</w:t>
      </w:r>
    </w:p>
    <w:p w14:paraId="740F51C4" w14:textId="4B78A5F6" w:rsidR="004E5652" w:rsidRDefault="00DC5BCD" w:rsidP="00F84B72">
      <w:pPr>
        <w:pStyle w:val="EYBulletedList1"/>
        <w:numPr>
          <w:ilvl w:val="1"/>
          <w:numId w:val="11"/>
        </w:numPr>
        <w:rPr>
          <w:rFonts w:eastAsia="Calibri"/>
          <w:sz w:val="22"/>
          <w:lang w:val="pl-PL"/>
        </w:rPr>
      </w:pPr>
      <w:r>
        <w:rPr>
          <w:rFonts w:eastAsia="Calibri"/>
          <w:b/>
          <w:color w:val="000000" w:themeColor="text1"/>
          <w:sz w:val="22"/>
          <w:lang w:val="pl-PL"/>
        </w:rPr>
        <w:t>Przygotowanie do zgłoszenia</w:t>
      </w:r>
      <w:r w:rsidRPr="004E62AC">
        <w:rPr>
          <w:rFonts w:eastAsia="Calibri"/>
          <w:b/>
          <w:color w:val="000000" w:themeColor="text1"/>
          <w:sz w:val="22"/>
          <w:lang w:val="pl-PL"/>
        </w:rPr>
        <w:t xml:space="preserve"> </w:t>
      </w:r>
      <w:r w:rsidR="005C0217" w:rsidRPr="004E62AC">
        <w:rPr>
          <w:rFonts w:eastAsia="Calibri"/>
          <w:b/>
          <w:color w:val="000000" w:themeColor="text1"/>
          <w:sz w:val="22"/>
          <w:lang w:val="pl-PL"/>
        </w:rPr>
        <w:t xml:space="preserve">do przeszczepienia </w:t>
      </w:r>
      <w:r w:rsidR="005C0217" w:rsidRPr="004E62AC">
        <w:rPr>
          <w:rFonts w:eastAsia="Calibri"/>
          <w:color w:val="000000" w:themeColor="text1"/>
          <w:sz w:val="22"/>
          <w:lang w:val="pl-PL"/>
        </w:rPr>
        <w:t xml:space="preserve">– </w:t>
      </w:r>
      <w:r w:rsidR="00C37CC2">
        <w:rPr>
          <w:rFonts w:eastAsia="Calibri"/>
          <w:color w:val="000000" w:themeColor="text1"/>
          <w:sz w:val="22"/>
          <w:lang w:val="pl-PL"/>
        </w:rPr>
        <w:t xml:space="preserve">zgodnie z danymi </w:t>
      </w:r>
      <w:proofErr w:type="spellStart"/>
      <w:r w:rsidR="00C37CC2">
        <w:rPr>
          <w:rFonts w:eastAsia="Calibri"/>
          <w:color w:val="000000" w:themeColor="text1"/>
          <w:sz w:val="22"/>
          <w:lang w:val="pl-PL"/>
        </w:rPr>
        <w:t>Poltransplantu</w:t>
      </w:r>
      <w:proofErr w:type="spellEnd"/>
      <w:r w:rsidR="00C37CC2">
        <w:rPr>
          <w:rFonts w:eastAsia="Calibri"/>
          <w:color w:val="000000" w:themeColor="text1"/>
          <w:sz w:val="22"/>
          <w:lang w:val="pl-PL"/>
        </w:rPr>
        <w:t xml:space="preserve">, </w:t>
      </w:r>
      <w:r w:rsidR="00262E3A">
        <w:rPr>
          <w:rFonts w:eastAsia="Calibri"/>
          <w:color w:val="000000" w:themeColor="text1"/>
          <w:sz w:val="22"/>
          <w:lang w:val="pl-PL"/>
        </w:rPr>
        <w:t>8,7</w:t>
      </w:r>
      <w:r w:rsidR="008C1046" w:rsidRPr="004E62AC">
        <w:rPr>
          <w:rFonts w:eastAsia="Calibri"/>
          <w:color w:val="000000" w:themeColor="text1"/>
          <w:sz w:val="22"/>
          <w:lang w:val="pl-PL"/>
        </w:rPr>
        <w:t xml:space="preserve">% </w:t>
      </w:r>
      <w:r w:rsidR="008C1046">
        <w:rPr>
          <w:rFonts w:eastAsia="Calibri"/>
          <w:sz w:val="22"/>
          <w:lang w:val="pl-PL"/>
        </w:rPr>
        <w:t xml:space="preserve">pacjentów </w:t>
      </w:r>
      <w:r w:rsidR="0015130A">
        <w:rPr>
          <w:rFonts w:eastAsia="Calibri"/>
          <w:sz w:val="22"/>
          <w:lang w:val="pl-PL"/>
        </w:rPr>
        <w:t>przechodzi pełen proces kwalifikacji do przeszczepienia</w:t>
      </w:r>
    </w:p>
    <w:p w14:paraId="0AC0BC86" w14:textId="77777777" w:rsidR="008C1046" w:rsidRDefault="008C1046" w:rsidP="008C1046">
      <w:pPr>
        <w:rPr>
          <w:rFonts w:eastAsia="Calibri"/>
          <w:lang w:val="pl-PL"/>
        </w:rPr>
      </w:pPr>
      <w:r>
        <w:rPr>
          <w:rFonts w:eastAsia="Calibri"/>
          <w:lang w:val="pl-PL"/>
        </w:rPr>
        <w:t xml:space="preserve">Do obliczenia kosztów opieki w </w:t>
      </w:r>
      <w:r w:rsidRPr="008C1046">
        <w:rPr>
          <w:rFonts w:eastAsia="Calibri"/>
          <w:b/>
          <w:u w:val="single"/>
          <w:lang w:val="pl-PL"/>
        </w:rPr>
        <w:t>modelu proponowanym</w:t>
      </w:r>
      <w:r>
        <w:rPr>
          <w:rFonts w:eastAsia="Calibri"/>
          <w:lang w:val="pl-PL"/>
        </w:rPr>
        <w:t xml:space="preserve"> przyjęto następujące założenia:</w:t>
      </w:r>
    </w:p>
    <w:p w14:paraId="1F0D1EF3" w14:textId="555E43E5" w:rsidR="008C1046" w:rsidRDefault="005935B8" w:rsidP="00F84B72">
      <w:pPr>
        <w:pStyle w:val="EYBulletedList1"/>
        <w:numPr>
          <w:ilvl w:val="0"/>
          <w:numId w:val="11"/>
        </w:numPr>
        <w:jc w:val="both"/>
        <w:rPr>
          <w:rFonts w:eastAsia="Calibri"/>
          <w:sz w:val="22"/>
          <w:lang w:val="pl-PL"/>
        </w:rPr>
      </w:pPr>
      <w:r>
        <w:rPr>
          <w:rFonts w:eastAsia="Calibri"/>
          <w:sz w:val="22"/>
          <w:lang w:val="pl-PL"/>
        </w:rPr>
        <w:t xml:space="preserve">Koszty w modelu proponowanym zostały oszacowane dla populacji pacjentów dializowanych w 2015 r. </w:t>
      </w:r>
    </w:p>
    <w:p w14:paraId="55690194" w14:textId="77777777" w:rsidR="00EF15E5" w:rsidRDefault="008C1046" w:rsidP="00F84B72">
      <w:pPr>
        <w:pStyle w:val="EYBulletedList1"/>
        <w:numPr>
          <w:ilvl w:val="0"/>
          <w:numId w:val="11"/>
        </w:numPr>
        <w:jc w:val="both"/>
        <w:rPr>
          <w:rFonts w:eastAsia="Calibri"/>
          <w:sz w:val="22"/>
          <w:lang w:val="pl-PL"/>
        </w:rPr>
      </w:pPr>
      <w:r>
        <w:rPr>
          <w:rFonts w:eastAsia="Calibri"/>
          <w:sz w:val="22"/>
          <w:lang w:val="pl-PL"/>
        </w:rPr>
        <w:t>Wartoś</w:t>
      </w:r>
      <w:r w:rsidR="00157B37">
        <w:rPr>
          <w:rFonts w:eastAsia="Calibri"/>
          <w:sz w:val="22"/>
          <w:lang w:val="pl-PL"/>
        </w:rPr>
        <w:t>ci</w:t>
      </w:r>
      <w:r>
        <w:rPr>
          <w:rFonts w:eastAsia="Calibri"/>
          <w:sz w:val="22"/>
          <w:lang w:val="pl-PL"/>
        </w:rPr>
        <w:t xml:space="preserve"> </w:t>
      </w:r>
      <w:r w:rsidRPr="004E5652">
        <w:rPr>
          <w:rFonts w:eastAsia="Calibri"/>
          <w:sz w:val="22"/>
          <w:lang w:val="pl-PL"/>
        </w:rPr>
        <w:t xml:space="preserve">poszczególnych produktów </w:t>
      </w:r>
      <w:r w:rsidR="00157B37">
        <w:rPr>
          <w:rFonts w:eastAsia="Calibri"/>
          <w:sz w:val="22"/>
          <w:lang w:val="pl-PL"/>
        </w:rPr>
        <w:t>są równe wartościom z modelu aktualnego</w:t>
      </w:r>
    </w:p>
    <w:p w14:paraId="386E7889" w14:textId="77777777" w:rsidR="008C1046" w:rsidRDefault="001C09C3" w:rsidP="001C09C3">
      <w:pPr>
        <w:pStyle w:val="EYBulletedList1"/>
        <w:numPr>
          <w:ilvl w:val="0"/>
          <w:numId w:val="11"/>
        </w:numPr>
        <w:jc w:val="both"/>
        <w:rPr>
          <w:rFonts w:eastAsia="Calibri"/>
          <w:sz w:val="22"/>
          <w:lang w:val="pl-PL"/>
        </w:rPr>
      </w:pPr>
      <w:r w:rsidRPr="001C09C3">
        <w:rPr>
          <w:rFonts w:eastAsia="Calibri"/>
          <w:sz w:val="22"/>
          <w:lang w:val="pl-PL"/>
        </w:rPr>
        <w:t>Ponadto przyjęto następujące założenia</w:t>
      </w:r>
      <w:r w:rsidR="00EF15E5">
        <w:rPr>
          <w:rFonts w:eastAsia="Calibri"/>
          <w:sz w:val="22"/>
          <w:lang w:val="pl-PL"/>
        </w:rPr>
        <w:t>:</w:t>
      </w:r>
    </w:p>
    <w:p w14:paraId="0112FD95" w14:textId="1C5F8EEC" w:rsidR="00B12502" w:rsidRDefault="00B12502" w:rsidP="00F84B72">
      <w:pPr>
        <w:pStyle w:val="EYBulletedList1"/>
        <w:numPr>
          <w:ilvl w:val="1"/>
          <w:numId w:val="11"/>
        </w:numPr>
        <w:jc w:val="both"/>
        <w:rPr>
          <w:rFonts w:eastAsia="Calibri"/>
          <w:sz w:val="22"/>
          <w:lang w:val="pl-PL"/>
        </w:rPr>
      </w:pPr>
      <w:r>
        <w:rPr>
          <w:rFonts w:eastAsia="Calibri"/>
          <w:b/>
          <w:sz w:val="22"/>
          <w:lang w:val="pl-PL"/>
        </w:rPr>
        <w:t>Hemodia</w:t>
      </w:r>
      <w:r w:rsidR="00EF15E5">
        <w:rPr>
          <w:rFonts w:eastAsia="Calibri"/>
          <w:b/>
          <w:sz w:val="22"/>
          <w:lang w:val="pl-PL"/>
        </w:rPr>
        <w:t xml:space="preserve">filtracja </w:t>
      </w:r>
      <w:r>
        <w:rPr>
          <w:rFonts w:eastAsia="Calibri"/>
          <w:sz w:val="22"/>
          <w:lang w:val="pl-PL"/>
        </w:rPr>
        <w:t xml:space="preserve">– koszt jednej </w:t>
      </w:r>
      <w:proofErr w:type="spellStart"/>
      <w:r w:rsidR="001C09C3">
        <w:rPr>
          <w:rFonts w:eastAsia="Calibri"/>
          <w:sz w:val="22"/>
          <w:lang w:val="pl-PL"/>
        </w:rPr>
        <w:t>hemodiafiltracji</w:t>
      </w:r>
      <w:proofErr w:type="spellEnd"/>
      <w:r w:rsidR="001C09C3">
        <w:rPr>
          <w:rFonts w:eastAsia="Calibri"/>
          <w:sz w:val="22"/>
          <w:lang w:val="pl-PL"/>
        </w:rPr>
        <w:t xml:space="preserve"> </w:t>
      </w:r>
      <w:r w:rsidR="005935B8">
        <w:rPr>
          <w:rFonts w:eastAsia="Calibri"/>
          <w:sz w:val="22"/>
          <w:lang w:val="pl-PL"/>
        </w:rPr>
        <w:t xml:space="preserve">(HDF) </w:t>
      </w:r>
      <w:r w:rsidR="001C09C3">
        <w:rPr>
          <w:rFonts w:eastAsia="Calibri"/>
          <w:sz w:val="22"/>
          <w:lang w:val="pl-PL"/>
        </w:rPr>
        <w:t xml:space="preserve">stanowi 125% ceny </w:t>
      </w:r>
      <w:r w:rsidR="00EF15E5" w:rsidRPr="003123D7">
        <w:rPr>
          <w:rFonts w:eastAsia="Calibri"/>
          <w:sz w:val="22"/>
          <w:szCs w:val="22"/>
          <w:lang w:val="pl-PL"/>
        </w:rPr>
        <w:t>hemodializ</w:t>
      </w:r>
      <w:r w:rsidR="001C09C3" w:rsidRPr="003123D7">
        <w:rPr>
          <w:rFonts w:eastAsia="Calibri"/>
          <w:sz w:val="22"/>
          <w:szCs w:val="22"/>
          <w:lang w:val="pl-PL"/>
        </w:rPr>
        <w:t>y</w:t>
      </w:r>
      <w:r w:rsidR="003123D7" w:rsidRPr="003123D7">
        <w:rPr>
          <w:rStyle w:val="Odwoanieprzypisudolnego"/>
          <w:rFonts w:eastAsia="Calibri"/>
          <w:sz w:val="22"/>
          <w:szCs w:val="22"/>
          <w:lang w:val="pl-PL"/>
        </w:rPr>
        <w:footnoteReference w:id="76"/>
      </w:r>
      <w:r w:rsidR="003123D7" w:rsidRPr="003123D7">
        <w:rPr>
          <w:rFonts w:eastAsia="Calibri"/>
          <w:sz w:val="22"/>
          <w:szCs w:val="22"/>
          <w:lang w:val="pl-PL"/>
        </w:rPr>
        <w:t>.</w:t>
      </w:r>
      <w:r w:rsidR="003123D7">
        <w:rPr>
          <w:rFonts w:eastAsia="Calibri"/>
          <w:sz w:val="22"/>
          <w:lang w:val="pl-PL"/>
        </w:rPr>
        <w:t xml:space="preserve"> </w:t>
      </w:r>
      <w:r w:rsidR="001C09C3">
        <w:rPr>
          <w:rFonts w:eastAsia="Calibri"/>
          <w:sz w:val="22"/>
          <w:lang w:val="pl-PL"/>
        </w:rPr>
        <w:t xml:space="preserve">Koszt </w:t>
      </w:r>
      <w:proofErr w:type="spellStart"/>
      <w:r w:rsidR="001C09C3">
        <w:rPr>
          <w:rFonts w:eastAsia="Calibri"/>
          <w:sz w:val="22"/>
          <w:lang w:val="pl-PL"/>
        </w:rPr>
        <w:t>hemodiafiltracji</w:t>
      </w:r>
      <w:proofErr w:type="spellEnd"/>
      <w:r w:rsidR="001C09C3">
        <w:rPr>
          <w:rFonts w:eastAsia="Calibri"/>
          <w:sz w:val="22"/>
          <w:lang w:val="pl-PL"/>
        </w:rPr>
        <w:t xml:space="preserve"> to </w:t>
      </w:r>
      <w:r w:rsidR="00EF15E5">
        <w:rPr>
          <w:rFonts w:eastAsia="Calibri"/>
          <w:sz w:val="22"/>
          <w:lang w:val="pl-PL"/>
        </w:rPr>
        <w:t>4</w:t>
      </w:r>
      <w:r w:rsidR="00911438">
        <w:rPr>
          <w:rFonts w:eastAsia="Calibri"/>
          <w:sz w:val="22"/>
          <w:lang w:val="pl-PL"/>
        </w:rPr>
        <w:t>98</w:t>
      </w:r>
      <w:r w:rsidR="001C09C3">
        <w:rPr>
          <w:rFonts w:eastAsia="Calibri"/>
          <w:sz w:val="22"/>
          <w:lang w:val="pl-PL"/>
        </w:rPr>
        <w:t> </w:t>
      </w:r>
      <w:r>
        <w:rPr>
          <w:rFonts w:eastAsia="Calibri"/>
          <w:sz w:val="22"/>
          <w:lang w:val="pl-PL"/>
        </w:rPr>
        <w:t xml:space="preserve">PLN. </w:t>
      </w:r>
      <w:r w:rsidR="001C09C3">
        <w:rPr>
          <w:rFonts w:eastAsia="Calibri"/>
          <w:sz w:val="22"/>
          <w:lang w:val="pl-PL"/>
        </w:rPr>
        <w:t>R</w:t>
      </w:r>
      <w:r>
        <w:rPr>
          <w:rFonts w:eastAsia="Calibri"/>
          <w:sz w:val="22"/>
          <w:lang w:val="pl-PL"/>
        </w:rPr>
        <w:t xml:space="preserve">ocznie pacjent realizuje 156 </w:t>
      </w:r>
      <w:r w:rsidR="005935B8">
        <w:rPr>
          <w:rFonts w:eastAsia="Calibri"/>
          <w:sz w:val="22"/>
          <w:lang w:val="pl-PL"/>
        </w:rPr>
        <w:t>zabiegów HDF</w:t>
      </w:r>
    </w:p>
    <w:p w14:paraId="5097007D" w14:textId="0E701E4C" w:rsidR="008C1046" w:rsidRPr="004E62AC" w:rsidRDefault="008C1046" w:rsidP="00F84B72">
      <w:pPr>
        <w:pStyle w:val="EYBulletedList1"/>
        <w:numPr>
          <w:ilvl w:val="1"/>
          <w:numId w:val="11"/>
        </w:numPr>
        <w:rPr>
          <w:rFonts w:eastAsia="Calibri"/>
          <w:b/>
          <w:color w:val="000000" w:themeColor="text1"/>
          <w:sz w:val="22"/>
          <w:lang w:val="pl-PL"/>
        </w:rPr>
      </w:pPr>
      <w:r w:rsidRPr="008C1046">
        <w:rPr>
          <w:rFonts w:eastAsia="Calibri"/>
          <w:b/>
          <w:sz w:val="22"/>
          <w:lang w:val="pl-PL"/>
        </w:rPr>
        <w:t>Koordynowanie opieki</w:t>
      </w:r>
      <w:r>
        <w:rPr>
          <w:rFonts w:eastAsia="Calibri"/>
          <w:b/>
          <w:sz w:val="22"/>
          <w:lang w:val="pl-PL"/>
        </w:rPr>
        <w:t xml:space="preserve"> </w:t>
      </w:r>
      <w:r>
        <w:rPr>
          <w:rFonts w:eastAsia="Calibri"/>
          <w:sz w:val="22"/>
          <w:lang w:val="pl-PL"/>
        </w:rPr>
        <w:t>–</w:t>
      </w:r>
      <w:r w:rsidR="005C07BF">
        <w:rPr>
          <w:rFonts w:eastAsia="Calibri"/>
          <w:sz w:val="22"/>
          <w:lang w:val="pl-PL"/>
        </w:rPr>
        <w:t xml:space="preserve"> </w:t>
      </w:r>
      <w:r w:rsidR="001C09C3">
        <w:rPr>
          <w:rFonts w:eastAsia="Calibri"/>
          <w:color w:val="000000" w:themeColor="text1"/>
          <w:sz w:val="22"/>
          <w:lang w:val="pl-PL"/>
        </w:rPr>
        <w:t xml:space="preserve">koszt </w:t>
      </w:r>
      <w:r w:rsidR="00EF15E5" w:rsidRPr="004E62AC">
        <w:rPr>
          <w:rFonts w:eastAsia="Calibri"/>
          <w:color w:val="000000" w:themeColor="text1"/>
          <w:sz w:val="22"/>
          <w:lang w:val="pl-PL"/>
        </w:rPr>
        <w:t>roczn</w:t>
      </w:r>
      <w:r w:rsidR="001C09C3">
        <w:rPr>
          <w:rFonts w:eastAsia="Calibri"/>
          <w:color w:val="000000" w:themeColor="text1"/>
          <w:sz w:val="22"/>
          <w:lang w:val="pl-PL"/>
        </w:rPr>
        <w:t>ej</w:t>
      </w:r>
      <w:r w:rsidR="00EF15E5" w:rsidRPr="004E62AC">
        <w:rPr>
          <w:rFonts w:eastAsia="Calibri"/>
          <w:color w:val="000000" w:themeColor="text1"/>
          <w:sz w:val="22"/>
          <w:lang w:val="pl-PL"/>
        </w:rPr>
        <w:t xml:space="preserve"> opiek</w:t>
      </w:r>
      <w:r w:rsidR="00AF4DC2">
        <w:rPr>
          <w:rFonts w:eastAsia="Calibri"/>
          <w:color w:val="000000" w:themeColor="text1"/>
          <w:sz w:val="22"/>
          <w:lang w:val="pl-PL"/>
        </w:rPr>
        <w:t>i</w:t>
      </w:r>
      <w:r w:rsidR="00EF15E5" w:rsidRPr="004E62AC">
        <w:rPr>
          <w:rFonts w:eastAsia="Calibri"/>
          <w:color w:val="000000" w:themeColor="text1"/>
          <w:sz w:val="22"/>
          <w:lang w:val="pl-PL"/>
        </w:rPr>
        <w:t xml:space="preserve"> i wsparci</w:t>
      </w:r>
      <w:r w:rsidR="001C09C3">
        <w:rPr>
          <w:rFonts w:eastAsia="Calibri"/>
          <w:color w:val="000000" w:themeColor="text1"/>
          <w:sz w:val="22"/>
          <w:lang w:val="pl-PL"/>
        </w:rPr>
        <w:t>a</w:t>
      </w:r>
      <w:r w:rsidR="00EF15E5" w:rsidRPr="004E62AC">
        <w:rPr>
          <w:rFonts w:eastAsia="Calibri"/>
          <w:color w:val="000000" w:themeColor="text1"/>
          <w:sz w:val="22"/>
          <w:lang w:val="pl-PL"/>
        </w:rPr>
        <w:t xml:space="preserve"> koordynatora dla jednego pacjenta </w:t>
      </w:r>
      <w:r w:rsidR="005C07BF">
        <w:rPr>
          <w:rFonts w:eastAsia="Calibri"/>
          <w:color w:val="000000" w:themeColor="text1"/>
          <w:sz w:val="22"/>
          <w:lang w:val="pl-PL"/>
        </w:rPr>
        <w:t xml:space="preserve">dializowanego </w:t>
      </w:r>
      <w:r w:rsidR="00AF4DC2">
        <w:rPr>
          <w:rFonts w:eastAsia="Calibri"/>
          <w:color w:val="000000" w:themeColor="text1"/>
          <w:sz w:val="22"/>
          <w:lang w:val="pl-PL"/>
        </w:rPr>
        <w:t>przyjęto na poziomie</w:t>
      </w:r>
      <w:r w:rsidR="00AF4DC2" w:rsidRPr="004E62AC">
        <w:rPr>
          <w:rFonts w:eastAsia="Calibri"/>
          <w:color w:val="000000" w:themeColor="text1"/>
          <w:sz w:val="22"/>
          <w:lang w:val="pl-PL"/>
        </w:rPr>
        <w:t xml:space="preserve"> </w:t>
      </w:r>
      <w:r w:rsidRPr="004E62AC">
        <w:rPr>
          <w:rFonts w:eastAsia="Calibri"/>
          <w:color w:val="000000" w:themeColor="text1"/>
          <w:sz w:val="22"/>
          <w:lang w:val="pl-PL"/>
        </w:rPr>
        <w:t>15</w:t>
      </w:r>
      <w:r w:rsidR="00EF15E5" w:rsidRPr="004E62AC">
        <w:rPr>
          <w:rFonts w:eastAsia="Calibri"/>
          <w:color w:val="000000" w:themeColor="text1"/>
          <w:sz w:val="22"/>
          <w:lang w:val="pl-PL"/>
        </w:rPr>
        <w:t>0</w:t>
      </w:r>
      <w:r w:rsidRPr="004E62AC">
        <w:rPr>
          <w:rFonts w:eastAsia="Calibri"/>
          <w:color w:val="000000" w:themeColor="text1"/>
          <w:sz w:val="22"/>
          <w:lang w:val="pl-PL"/>
        </w:rPr>
        <w:t xml:space="preserve"> PLN</w:t>
      </w:r>
      <w:r w:rsidR="00AF4DC2">
        <w:rPr>
          <w:rFonts w:eastAsia="Calibri"/>
          <w:color w:val="000000" w:themeColor="text1"/>
          <w:sz w:val="22"/>
          <w:lang w:val="pl-PL"/>
        </w:rPr>
        <w:t xml:space="preserve"> z kolei </w:t>
      </w:r>
      <w:r w:rsidR="005C07BF">
        <w:rPr>
          <w:rFonts w:eastAsia="Calibri"/>
          <w:color w:val="000000" w:themeColor="text1"/>
          <w:sz w:val="22"/>
          <w:lang w:val="pl-PL"/>
        </w:rPr>
        <w:t>w przypadku pacjentów przed dializą koszt będzie odpowiednio mniejszy w zależności od zaangażowania</w:t>
      </w:r>
      <w:r w:rsidR="00AF4DC2">
        <w:rPr>
          <w:rFonts w:eastAsia="Calibri"/>
          <w:color w:val="000000" w:themeColor="text1"/>
          <w:sz w:val="22"/>
          <w:lang w:val="pl-PL"/>
        </w:rPr>
        <w:t xml:space="preserve"> koordynatora</w:t>
      </w:r>
    </w:p>
    <w:p w14:paraId="4BFAA090" w14:textId="7E4704E0" w:rsidR="008C1046" w:rsidRPr="004E62AC" w:rsidRDefault="008C1046" w:rsidP="00F84B72">
      <w:pPr>
        <w:pStyle w:val="EYBulletedList1"/>
        <w:numPr>
          <w:ilvl w:val="1"/>
          <w:numId w:val="11"/>
        </w:numPr>
        <w:rPr>
          <w:rFonts w:eastAsia="Calibri"/>
          <w:b/>
          <w:color w:val="000000" w:themeColor="text1"/>
          <w:sz w:val="22"/>
          <w:lang w:val="pl-PL"/>
        </w:rPr>
      </w:pPr>
      <w:r w:rsidRPr="004E62AC">
        <w:rPr>
          <w:rFonts w:eastAsia="Calibri"/>
          <w:b/>
          <w:color w:val="000000" w:themeColor="text1"/>
          <w:sz w:val="22"/>
          <w:lang w:val="pl-PL"/>
        </w:rPr>
        <w:t xml:space="preserve">Opieka dietetyka </w:t>
      </w:r>
      <w:r w:rsidRPr="004E62AC">
        <w:rPr>
          <w:rFonts w:eastAsia="Calibri"/>
          <w:color w:val="000000" w:themeColor="text1"/>
          <w:sz w:val="22"/>
          <w:lang w:val="pl-PL"/>
        </w:rPr>
        <w:t xml:space="preserve">–koszt godzinnej porady dietetycznej </w:t>
      </w:r>
      <w:r w:rsidR="00AF4DC2">
        <w:rPr>
          <w:rFonts w:eastAsia="Calibri"/>
          <w:color w:val="000000" w:themeColor="text1"/>
          <w:sz w:val="22"/>
          <w:lang w:val="pl-PL"/>
        </w:rPr>
        <w:t>przyjęto na poziomie</w:t>
      </w:r>
      <w:r w:rsidR="00AF4DC2" w:rsidRPr="004E62AC">
        <w:rPr>
          <w:rFonts w:eastAsia="Calibri"/>
          <w:color w:val="000000" w:themeColor="text1"/>
          <w:sz w:val="22"/>
          <w:lang w:val="pl-PL"/>
        </w:rPr>
        <w:t xml:space="preserve"> </w:t>
      </w:r>
      <w:r w:rsidR="00B12502" w:rsidRPr="004E62AC">
        <w:rPr>
          <w:rFonts w:eastAsia="Calibri"/>
          <w:color w:val="000000" w:themeColor="text1"/>
          <w:sz w:val="22"/>
          <w:lang w:val="pl-PL"/>
        </w:rPr>
        <w:t>6</w:t>
      </w:r>
      <w:r w:rsidR="00143CCE" w:rsidRPr="004E62AC">
        <w:rPr>
          <w:rFonts w:eastAsia="Calibri"/>
          <w:color w:val="000000" w:themeColor="text1"/>
          <w:sz w:val="22"/>
          <w:lang w:val="pl-PL"/>
        </w:rPr>
        <w:t>0</w:t>
      </w:r>
      <w:r w:rsidRPr="004E62AC">
        <w:rPr>
          <w:rFonts w:eastAsia="Calibri"/>
          <w:color w:val="000000" w:themeColor="text1"/>
          <w:sz w:val="22"/>
          <w:lang w:val="pl-PL"/>
        </w:rPr>
        <w:t xml:space="preserve"> PLN</w:t>
      </w:r>
    </w:p>
    <w:p w14:paraId="68EEA1DB" w14:textId="0592F938" w:rsidR="008C1046" w:rsidRPr="008C1046" w:rsidRDefault="008C1046" w:rsidP="00F84B72">
      <w:pPr>
        <w:pStyle w:val="EYBulletedList1"/>
        <w:numPr>
          <w:ilvl w:val="1"/>
          <w:numId w:val="11"/>
        </w:numPr>
        <w:rPr>
          <w:rFonts w:eastAsia="Calibri"/>
          <w:b/>
          <w:sz w:val="22"/>
          <w:lang w:val="pl-PL"/>
        </w:rPr>
      </w:pPr>
      <w:r w:rsidRPr="008C1046">
        <w:rPr>
          <w:rFonts w:eastAsia="Calibri"/>
          <w:b/>
          <w:sz w:val="22"/>
          <w:lang w:val="pl-PL"/>
        </w:rPr>
        <w:t>Opieka psychologiczna</w:t>
      </w:r>
      <w:r w:rsidRPr="008C1046">
        <w:rPr>
          <w:rFonts w:eastAsia="Calibri"/>
          <w:sz w:val="22"/>
          <w:lang w:val="pl-PL"/>
        </w:rPr>
        <w:t xml:space="preserve"> </w:t>
      </w:r>
      <w:r>
        <w:rPr>
          <w:rFonts w:eastAsia="Calibri"/>
          <w:sz w:val="22"/>
          <w:lang w:val="pl-PL"/>
        </w:rPr>
        <w:t xml:space="preserve">- koszt godzinnej porady psychologa </w:t>
      </w:r>
      <w:r w:rsidR="00AF4DC2">
        <w:rPr>
          <w:rFonts w:eastAsia="Calibri"/>
          <w:color w:val="000000" w:themeColor="text1"/>
          <w:sz w:val="22"/>
          <w:lang w:val="pl-PL"/>
        </w:rPr>
        <w:t>przyjęto na poziomie</w:t>
      </w:r>
      <w:r w:rsidR="00AF4DC2" w:rsidRPr="004E62AC" w:rsidDel="00AF4DC2">
        <w:rPr>
          <w:rFonts w:eastAsia="Calibri"/>
          <w:color w:val="000000" w:themeColor="text1"/>
          <w:sz w:val="22"/>
          <w:lang w:val="pl-PL"/>
        </w:rPr>
        <w:t xml:space="preserve"> </w:t>
      </w:r>
      <w:r w:rsidR="00143CCE" w:rsidRPr="004E62AC">
        <w:rPr>
          <w:rFonts w:eastAsia="Calibri"/>
          <w:color w:val="000000" w:themeColor="text1"/>
          <w:sz w:val="22"/>
          <w:lang w:val="pl-PL"/>
        </w:rPr>
        <w:t>81</w:t>
      </w:r>
      <w:r w:rsidR="001C09C3">
        <w:rPr>
          <w:rFonts w:eastAsia="Calibri"/>
          <w:color w:val="000000" w:themeColor="text1"/>
          <w:sz w:val="22"/>
          <w:lang w:val="pl-PL"/>
        </w:rPr>
        <w:t> </w:t>
      </w:r>
      <w:r>
        <w:rPr>
          <w:rFonts w:eastAsia="Calibri"/>
          <w:sz w:val="22"/>
          <w:lang w:val="pl-PL"/>
        </w:rPr>
        <w:t>PLN</w:t>
      </w:r>
      <w:r w:rsidR="0094652A">
        <w:rPr>
          <w:rFonts w:eastAsia="Calibri"/>
          <w:sz w:val="22"/>
          <w:lang w:val="pl-PL"/>
        </w:rPr>
        <w:t xml:space="preserve"> (9 punktów x 9 PLN</w:t>
      </w:r>
      <w:r w:rsidR="00143CCE">
        <w:rPr>
          <w:rFonts w:eastAsia="Calibri"/>
          <w:sz w:val="22"/>
          <w:lang w:val="pl-PL"/>
        </w:rPr>
        <w:t>)</w:t>
      </w:r>
    </w:p>
    <w:p w14:paraId="25C43DD4" w14:textId="726F85EC" w:rsidR="008C1046" w:rsidRPr="00060165" w:rsidRDefault="008C1046" w:rsidP="00F84B72">
      <w:pPr>
        <w:pStyle w:val="EYBulletedList1"/>
        <w:numPr>
          <w:ilvl w:val="1"/>
          <w:numId w:val="11"/>
        </w:numPr>
        <w:rPr>
          <w:rFonts w:eastAsia="Calibri"/>
          <w:b/>
          <w:sz w:val="22"/>
          <w:lang w:val="pl-PL"/>
        </w:rPr>
      </w:pPr>
      <w:r w:rsidRPr="008C1046">
        <w:rPr>
          <w:rFonts w:eastAsia="Calibri"/>
          <w:b/>
          <w:sz w:val="22"/>
          <w:lang w:val="pl-PL"/>
        </w:rPr>
        <w:t>Edukacja pacjenta</w:t>
      </w:r>
      <w:r w:rsidR="00EB2E4E">
        <w:rPr>
          <w:rFonts w:eastAsia="Calibri"/>
          <w:b/>
          <w:sz w:val="22"/>
          <w:lang w:val="pl-PL"/>
        </w:rPr>
        <w:t xml:space="preserve"> </w:t>
      </w:r>
      <w:r>
        <w:rPr>
          <w:rFonts w:eastAsia="Calibri"/>
          <w:sz w:val="22"/>
          <w:lang w:val="pl-PL"/>
        </w:rPr>
        <w:t xml:space="preserve">- koszt godzinnej porady edukacyjnej </w:t>
      </w:r>
      <w:r w:rsidR="00AF4DC2">
        <w:rPr>
          <w:rFonts w:eastAsia="Calibri"/>
          <w:color w:val="000000" w:themeColor="text1"/>
          <w:sz w:val="22"/>
          <w:lang w:val="pl-PL"/>
        </w:rPr>
        <w:t>przyjęto na poziomie</w:t>
      </w:r>
      <w:r w:rsidR="00AF4DC2" w:rsidRPr="004E62AC" w:rsidDel="00AF4DC2">
        <w:rPr>
          <w:rFonts w:eastAsia="Calibri"/>
          <w:color w:val="000000" w:themeColor="text1"/>
          <w:sz w:val="22"/>
          <w:lang w:val="pl-PL"/>
        </w:rPr>
        <w:t xml:space="preserve"> </w:t>
      </w:r>
      <w:r w:rsidR="00B12502" w:rsidRPr="004E62AC">
        <w:rPr>
          <w:rFonts w:eastAsia="Calibri"/>
          <w:color w:val="000000" w:themeColor="text1"/>
          <w:sz w:val="22"/>
          <w:lang w:val="pl-PL"/>
        </w:rPr>
        <w:t>31</w:t>
      </w:r>
      <w:r w:rsidRPr="004E62AC">
        <w:rPr>
          <w:rFonts w:eastAsia="Calibri"/>
          <w:color w:val="000000" w:themeColor="text1"/>
          <w:sz w:val="22"/>
          <w:lang w:val="pl-PL"/>
        </w:rPr>
        <w:t xml:space="preserve"> PLN</w:t>
      </w:r>
      <w:r w:rsidR="00143CCE" w:rsidRPr="004E62AC">
        <w:rPr>
          <w:rFonts w:eastAsia="Calibri"/>
          <w:color w:val="000000" w:themeColor="text1"/>
          <w:sz w:val="22"/>
          <w:lang w:val="pl-PL"/>
        </w:rPr>
        <w:t xml:space="preserve"> </w:t>
      </w:r>
      <w:r w:rsidR="00143CCE">
        <w:rPr>
          <w:rFonts w:eastAsia="Calibri"/>
          <w:sz w:val="22"/>
          <w:lang w:val="pl-PL"/>
        </w:rPr>
        <w:t>(analogicznie do innych porad edukacyjnych, np. edukacja przedporodowa)</w:t>
      </w:r>
    </w:p>
    <w:p w14:paraId="5F807AF6" w14:textId="0FE89462" w:rsidR="005935B8" w:rsidRPr="008C1046" w:rsidRDefault="005935B8" w:rsidP="00F84B72">
      <w:pPr>
        <w:pStyle w:val="EYBulletedList1"/>
        <w:numPr>
          <w:ilvl w:val="1"/>
          <w:numId w:val="11"/>
        </w:numPr>
        <w:rPr>
          <w:rFonts w:eastAsia="Calibri"/>
          <w:b/>
          <w:sz w:val="22"/>
          <w:lang w:val="pl-PL"/>
        </w:rPr>
      </w:pPr>
      <w:r>
        <w:rPr>
          <w:rFonts w:eastAsia="Calibri"/>
          <w:b/>
          <w:sz w:val="22"/>
          <w:lang w:val="pl-PL"/>
        </w:rPr>
        <w:t>Opieka fizjoterapeuty</w:t>
      </w:r>
      <w:r>
        <w:rPr>
          <w:rFonts w:eastAsia="Calibri"/>
          <w:sz w:val="22"/>
          <w:lang w:val="pl-PL"/>
        </w:rPr>
        <w:t xml:space="preserve"> – koszt jednego 10 dniowego cyklu fizjoterapii został oszacowany na średnio 352 PLN </w:t>
      </w:r>
    </w:p>
    <w:p w14:paraId="7484BDBD" w14:textId="77777777" w:rsidR="008C1046" w:rsidRPr="005C0217" w:rsidRDefault="003123D7" w:rsidP="00F84B72">
      <w:pPr>
        <w:pStyle w:val="EYBulletedList1"/>
        <w:numPr>
          <w:ilvl w:val="0"/>
          <w:numId w:val="11"/>
        </w:numPr>
        <w:jc w:val="both"/>
        <w:rPr>
          <w:rFonts w:eastAsia="Calibri"/>
          <w:sz w:val="22"/>
          <w:lang w:val="pl-PL"/>
        </w:rPr>
      </w:pPr>
      <w:r>
        <w:rPr>
          <w:rFonts w:eastAsia="Calibri"/>
          <w:sz w:val="22"/>
          <w:lang w:val="pl-PL"/>
        </w:rPr>
        <w:lastRenderedPageBreak/>
        <w:t>Ponadto przyjęto następujące założenia</w:t>
      </w:r>
      <w:r w:rsidR="007A73F0">
        <w:rPr>
          <w:rFonts w:eastAsia="Calibri"/>
          <w:sz w:val="22"/>
          <w:lang w:val="pl-PL"/>
        </w:rPr>
        <w:t>:</w:t>
      </w:r>
    </w:p>
    <w:p w14:paraId="75FEC695" w14:textId="4924D939" w:rsidR="006B10FA" w:rsidRPr="00060165" w:rsidRDefault="005C07BF" w:rsidP="00FD0F13">
      <w:pPr>
        <w:pStyle w:val="EYBulletedList1"/>
        <w:numPr>
          <w:ilvl w:val="1"/>
          <w:numId w:val="11"/>
        </w:numPr>
        <w:rPr>
          <w:rFonts w:eastAsia="Calibri"/>
          <w:b/>
          <w:sz w:val="22"/>
          <w:lang w:val="pl-PL"/>
        </w:rPr>
      </w:pPr>
      <w:r>
        <w:rPr>
          <w:rFonts w:eastAsia="Calibri"/>
          <w:b/>
          <w:sz w:val="22"/>
          <w:lang w:val="pl-PL"/>
        </w:rPr>
        <w:t>Porada nefrologiczna</w:t>
      </w:r>
      <w:r>
        <w:rPr>
          <w:rFonts w:eastAsia="Calibri"/>
          <w:sz w:val="22"/>
          <w:lang w:val="pl-PL"/>
        </w:rPr>
        <w:t xml:space="preserve"> – przyjęto, że w modelu opieki koordynowanej pacjenci </w:t>
      </w:r>
      <w:r w:rsidR="006B10FA">
        <w:rPr>
          <w:rFonts w:eastAsia="Calibri"/>
          <w:sz w:val="22"/>
          <w:lang w:val="pl-PL"/>
        </w:rPr>
        <w:t>będą korzystać z porad nefrologa zgodnie z poniższym schematem:</w:t>
      </w:r>
    </w:p>
    <w:p w14:paraId="020B23FE" w14:textId="16EDEEAE" w:rsidR="006B10FA" w:rsidRPr="00060165" w:rsidRDefault="006B10FA" w:rsidP="00060165">
      <w:pPr>
        <w:pStyle w:val="Legenda"/>
        <w:keepNext/>
        <w:ind w:left="567"/>
        <w:rPr>
          <w:b/>
          <w:lang w:val="pl-PL"/>
        </w:rPr>
      </w:pPr>
      <w:bookmarkStart w:id="330" w:name="_Toc486537984"/>
      <w:r w:rsidRPr="00060165">
        <w:rPr>
          <w:b/>
          <w:i w:val="0"/>
          <w:color w:val="auto"/>
          <w:lang w:val="pl-PL"/>
        </w:rPr>
        <w:t xml:space="preserve">Tabela </w:t>
      </w:r>
      <w:r w:rsidRPr="00060165">
        <w:rPr>
          <w:b/>
          <w:i w:val="0"/>
          <w:color w:val="auto"/>
          <w:lang w:val="pl-PL"/>
        </w:rPr>
        <w:fldChar w:fldCharType="begin"/>
      </w:r>
      <w:r w:rsidRPr="00060165">
        <w:rPr>
          <w:b/>
          <w:i w:val="0"/>
          <w:color w:val="auto"/>
          <w:lang w:val="pl-PL"/>
        </w:rPr>
        <w:instrText xml:space="preserve"> SEQ Tabela \* ARABIC </w:instrText>
      </w:r>
      <w:r w:rsidRPr="00060165">
        <w:rPr>
          <w:b/>
          <w:i w:val="0"/>
          <w:color w:val="auto"/>
          <w:lang w:val="pl-PL"/>
        </w:rPr>
        <w:fldChar w:fldCharType="separate"/>
      </w:r>
      <w:r w:rsidR="005C7285">
        <w:rPr>
          <w:b/>
          <w:i w:val="0"/>
          <w:noProof/>
          <w:color w:val="auto"/>
          <w:lang w:val="pl-PL"/>
        </w:rPr>
        <w:t>21</w:t>
      </w:r>
      <w:r w:rsidRPr="00060165">
        <w:rPr>
          <w:b/>
          <w:i w:val="0"/>
          <w:color w:val="auto"/>
          <w:lang w:val="pl-PL"/>
        </w:rPr>
        <w:fldChar w:fldCharType="end"/>
      </w:r>
      <w:r w:rsidRPr="00060165">
        <w:rPr>
          <w:b/>
          <w:i w:val="0"/>
          <w:color w:val="auto"/>
          <w:lang w:val="pl-PL"/>
        </w:rPr>
        <w:t xml:space="preserve"> Proponowana liczba porad nefrologicznych w roku w poszczególnych stadiach zaawansowania </w:t>
      </w:r>
      <w:proofErr w:type="spellStart"/>
      <w:r w:rsidRPr="00060165">
        <w:rPr>
          <w:b/>
          <w:i w:val="0"/>
          <w:color w:val="auto"/>
          <w:lang w:val="pl-PL"/>
        </w:rPr>
        <w:t>PChN</w:t>
      </w:r>
      <w:bookmarkEnd w:id="330"/>
      <w:proofErr w:type="spellEnd"/>
    </w:p>
    <w:p w14:paraId="6B33072D" w14:textId="3B71B1DC" w:rsidR="006B10FA" w:rsidRDefault="009424BE" w:rsidP="00060165">
      <w:pPr>
        <w:pStyle w:val="EYBulletedList1"/>
        <w:numPr>
          <w:ilvl w:val="0"/>
          <w:numId w:val="0"/>
        </w:numPr>
        <w:ind w:left="576"/>
        <w:rPr>
          <w:rFonts w:eastAsia="Calibri"/>
          <w:sz w:val="18"/>
          <w:szCs w:val="18"/>
          <w:lang w:val="pl-PL"/>
        </w:rPr>
      </w:pPr>
      <w:r>
        <w:rPr>
          <w:rFonts w:eastAsia="Calibri"/>
          <w:noProof/>
          <w:sz w:val="18"/>
          <w:szCs w:val="18"/>
          <w:lang w:val="pl-PL" w:eastAsia="pl-PL"/>
        </w:rPr>
        <w:drawing>
          <wp:inline distT="0" distB="0" distL="0" distR="0" wp14:anchorId="3295DCBC" wp14:editId="0E046520">
            <wp:extent cx="4191585" cy="1829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czna liczba wizyt TO BE.PNG"/>
                    <pic:cNvPicPr/>
                  </pic:nvPicPr>
                  <pic:blipFill>
                    <a:blip r:embed="rId20">
                      <a:extLst>
                        <a:ext uri="{28A0092B-C50C-407E-A947-70E740481C1C}">
                          <a14:useLocalDpi xmlns:a14="http://schemas.microsoft.com/office/drawing/2010/main" val="0"/>
                        </a:ext>
                      </a:extLst>
                    </a:blip>
                    <a:stretch>
                      <a:fillRect/>
                    </a:stretch>
                  </pic:blipFill>
                  <pic:spPr>
                    <a:xfrm>
                      <a:off x="0" y="0"/>
                      <a:ext cx="4191585" cy="1829055"/>
                    </a:xfrm>
                    <a:prstGeom prst="rect">
                      <a:avLst/>
                    </a:prstGeom>
                  </pic:spPr>
                </pic:pic>
              </a:graphicData>
            </a:graphic>
          </wp:inline>
        </w:drawing>
      </w:r>
    </w:p>
    <w:p w14:paraId="736D3B62" w14:textId="389D18D2" w:rsidR="00CA0341" w:rsidRDefault="006B10FA" w:rsidP="00060165">
      <w:pPr>
        <w:pStyle w:val="EYBulletedList1"/>
        <w:numPr>
          <w:ilvl w:val="0"/>
          <w:numId w:val="0"/>
        </w:numPr>
        <w:ind w:left="576"/>
        <w:rPr>
          <w:rFonts w:eastAsia="Calibri"/>
          <w:sz w:val="18"/>
          <w:szCs w:val="18"/>
          <w:lang w:val="pl-PL"/>
        </w:rPr>
      </w:pPr>
      <w:r w:rsidRPr="00060165">
        <w:rPr>
          <w:rFonts w:eastAsia="Calibri"/>
          <w:sz w:val="18"/>
          <w:szCs w:val="18"/>
          <w:lang w:val="pl-PL"/>
        </w:rPr>
        <w:t>Źródło: Opracowanie własne EY na podstawie dyskusji ze środowiskiem nefrologicznym</w:t>
      </w:r>
    </w:p>
    <w:p w14:paraId="59A82C6E" w14:textId="1D0E31FB" w:rsidR="009424BE" w:rsidRPr="00060165" w:rsidRDefault="006A1080" w:rsidP="0065540F">
      <w:pPr>
        <w:pStyle w:val="EYBulletedList1"/>
        <w:numPr>
          <w:ilvl w:val="0"/>
          <w:numId w:val="0"/>
        </w:numPr>
        <w:ind w:left="576"/>
        <w:rPr>
          <w:rFonts w:eastAsia="Calibri"/>
          <w:sz w:val="18"/>
          <w:szCs w:val="18"/>
          <w:lang w:val="pl-PL"/>
        </w:rPr>
      </w:pPr>
      <w:r w:rsidRPr="0065540F">
        <w:rPr>
          <w:rFonts w:eastAsia="Calibri"/>
          <w:sz w:val="18"/>
          <w:szCs w:val="18"/>
          <w:lang w:val="pl-PL"/>
        </w:rPr>
        <w:t>*</w:t>
      </w:r>
      <w:r>
        <w:rPr>
          <w:rFonts w:eastAsia="Calibri"/>
          <w:sz w:val="18"/>
          <w:szCs w:val="18"/>
          <w:lang w:val="pl-PL"/>
        </w:rPr>
        <w:t xml:space="preserve"> Przeanalizowano dwa warianty: Moduł A uwzględniający </w:t>
      </w:r>
      <w:r w:rsidR="00AF4DC2">
        <w:rPr>
          <w:rFonts w:eastAsia="Calibri"/>
          <w:sz w:val="18"/>
          <w:szCs w:val="18"/>
          <w:lang w:val="pl-PL"/>
        </w:rPr>
        <w:t xml:space="preserve">dodatkowe </w:t>
      </w:r>
      <w:r>
        <w:rPr>
          <w:rFonts w:eastAsia="Calibri"/>
          <w:sz w:val="18"/>
          <w:szCs w:val="18"/>
          <w:lang w:val="pl-PL"/>
        </w:rPr>
        <w:t>porad</w:t>
      </w:r>
      <w:r w:rsidR="00AF4DC2">
        <w:rPr>
          <w:rFonts w:eastAsia="Calibri"/>
          <w:sz w:val="18"/>
          <w:szCs w:val="18"/>
          <w:lang w:val="pl-PL"/>
        </w:rPr>
        <w:t>y</w:t>
      </w:r>
      <w:r>
        <w:rPr>
          <w:rFonts w:eastAsia="Calibri"/>
          <w:sz w:val="18"/>
          <w:szCs w:val="18"/>
          <w:lang w:val="pl-PL"/>
        </w:rPr>
        <w:t xml:space="preserve"> nefrologiczn</w:t>
      </w:r>
      <w:r w:rsidR="00AF4DC2">
        <w:rPr>
          <w:rFonts w:eastAsia="Calibri"/>
          <w:sz w:val="18"/>
          <w:szCs w:val="18"/>
          <w:lang w:val="pl-PL"/>
        </w:rPr>
        <w:t>e realizowane</w:t>
      </w:r>
      <w:r>
        <w:rPr>
          <w:rFonts w:eastAsia="Calibri"/>
          <w:sz w:val="18"/>
          <w:szCs w:val="18"/>
          <w:lang w:val="pl-PL"/>
        </w:rPr>
        <w:t xml:space="preserve"> raz na 2 tygodni</w:t>
      </w:r>
      <w:r w:rsidR="00327605">
        <w:rPr>
          <w:rFonts w:eastAsia="Calibri"/>
          <w:sz w:val="18"/>
          <w:szCs w:val="18"/>
          <w:lang w:val="pl-PL"/>
        </w:rPr>
        <w:t>e</w:t>
      </w:r>
      <w:r w:rsidR="00AF4DC2">
        <w:rPr>
          <w:rFonts w:eastAsia="Calibri"/>
          <w:sz w:val="18"/>
          <w:szCs w:val="18"/>
          <w:lang w:val="pl-PL"/>
        </w:rPr>
        <w:t xml:space="preserve"> (w dni, w które realizowane są dializy)</w:t>
      </w:r>
      <w:r>
        <w:rPr>
          <w:rFonts w:eastAsia="Calibri"/>
          <w:sz w:val="18"/>
          <w:szCs w:val="18"/>
          <w:lang w:val="pl-PL"/>
        </w:rPr>
        <w:t xml:space="preserve"> i Moduł AA nie obejmujący dodatkowych porad dla pacjentów dializowanych</w:t>
      </w:r>
      <w:r w:rsidR="009424BE">
        <w:rPr>
          <w:rFonts w:eastAsia="Calibri"/>
          <w:sz w:val="18"/>
          <w:szCs w:val="18"/>
          <w:lang w:val="pl-PL"/>
        </w:rPr>
        <w:t xml:space="preserve"> </w:t>
      </w:r>
    </w:p>
    <w:p w14:paraId="236FDFB1" w14:textId="6B7D052C" w:rsidR="008C1046" w:rsidRPr="00D272B8" w:rsidRDefault="005935B8" w:rsidP="00F84B72">
      <w:pPr>
        <w:pStyle w:val="EYBulletedList1"/>
        <w:numPr>
          <w:ilvl w:val="1"/>
          <w:numId w:val="11"/>
        </w:numPr>
        <w:rPr>
          <w:rFonts w:eastAsia="Calibri"/>
          <w:b/>
          <w:color w:val="000000" w:themeColor="text1"/>
          <w:sz w:val="22"/>
          <w:lang w:val="pl-PL"/>
        </w:rPr>
      </w:pPr>
      <w:r>
        <w:rPr>
          <w:rFonts w:eastAsia="Calibri"/>
          <w:b/>
          <w:sz w:val="22"/>
          <w:lang w:val="pl-PL"/>
        </w:rPr>
        <w:t xml:space="preserve">Wymiana </w:t>
      </w:r>
      <w:r w:rsidRPr="00A16630">
        <w:rPr>
          <w:rFonts w:eastAsia="Calibri"/>
          <w:b/>
          <w:sz w:val="22"/>
          <w:lang w:val="pl-PL"/>
        </w:rPr>
        <w:t xml:space="preserve">dostępów z powodu niewydolności dotychczasowego dostępu (wtórnych) </w:t>
      </w:r>
      <w:r>
        <w:rPr>
          <w:rFonts w:eastAsia="Calibri"/>
          <w:sz w:val="22"/>
          <w:lang w:val="pl-PL"/>
        </w:rPr>
        <w:t xml:space="preserve"> </w:t>
      </w:r>
      <w:r w:rsidR="008C1046">
        <w:rPr>
          <w:rFonts w:eastAsia="Calibri"/>
          <w:sz w:val="22"/>
          <w:lang w:val="pl-PL"/>
        </w:rPr>
        <w:t xml:space="preserve"> –</w:t>
      </w:r>
      <w:r>
        <w:rPr>
          <w:rFonts w:eastAsia="Calibri"/>
          <w:sz w:val="22"/>
          <w:lang w:val="pl-PL"/>
        </w:rPr>
        <w:t xml:space="preserve"> 3</w:t>
      </w:r>
      <w:r w:rsidR="00FF3A4A">
        <w:rPr>
          <w:rFonts w:eastAsia="Calibri"/>
          <w:sz w:val="22"/>
          <w:lang w:val="pl-PL"/>
        </w:rPr>
        <w:t>0% popraw</w:t>
      </w:r>
      <w:r w:rsidR="00AB3698">
        <w:rPr>
          <w:rFonts w:eastAsia="Calibri"/>
          <w:sz w:val="22"/>
          <w:lang w:val="pl-PL"/>
        </w:rPr>
        <w:t>y</w:t>
      </w:r>
      <w:r w:rsidR="00FF3A4A">
        <w:rPr>
          <w:rFonts w:eastAsia="Calibri"/>
          <w:sz w:val="22"/>
          <w:lang w:val="pl-PL"/>
        </w:rPr>
        <w:t xml:space="preserve"> wskaźników</w:t>
      </w:r>
    </w:p>
    <w:p w14:paraId="15E54FA9" w14:textId="038976E7" w:rsidR="008C1046" w:rsidRPr="008C59C5" w:rsidRDefault="008C1046" w:rsidP="00FD0F13">
      <w:pPr>
        <w:pStyle w:val="EYBulletedList1"/>
        <w:numPr>
          <w:ilvl w:val="1"/>
          <w:numId w:val="11"/>
        </w:numPr>
        <w:jc w:val="both"/>
        <w:rPr>
          <w:rFonts w:eastAsia="Calibri"/>
          <w:b/>
          <w:sz w:val="22"/>
          <w:lang w:val="pl-PL"/>
        </w:rPr>
      </w:pPr>
      <w:r w:rsidRPr="004E62AC">
        <w:rPr>
          <w:rFonts w:eastAsia="Calibri"/>
          <w:b/>
          <w:color w:val="000000" w:themeColor="text1"/>
          <w:sz w:val="22"/>
          <w:lang w:val="pl-PL"/>
        </w:rPr>
        <w:t xml:space="preserve">Leczenie powikłań leczenia nerkozastępczego </w:t>
      </w:r>
      <w:r w:rsidR="00FF3A4A" w:rsidRPr="004E62AC">
        <w:rPr>
          <w:rFonts w:eastAsia="Calibri"/>
          <w:b/>
          <w:color w:val="000000" w:themeColor="text1"/>
          <w:sz w:val="22"/>
          <w:lang w:val="pl-PL"/>
        </w:rPr>
        <w:t xml:space="preserve">z tytułu powikłań dostępów </w:t>
      </w:r>
      <w:r w:rsidRPr="004E62AC">
        <w:rPr>
          <w:rFonts w:eastAsia="Calibri"/>
          <w:color w:val="000000" w:themeColor="text1"/>
          <w:sz w:val="22"/>
          <w:lang w:val="pl-PL"/>
        </w:rPr>
        <w:t>–</w:t>
      </w:r>
      <w:r w:rsidR="005935B8">
        <w:rPr>
          <w:rFonts w:eastAsia="Calibri"/>
          <w:color w:val="000000" w:themeColor="text1"/>
          <w:sz w:val="22"/>
          <w:lang w:val="pl-PL"/>
        </w:rPr>
        <w:t xml:space="preserve"> 3</w:t>
      </w:r>
      <w:r w:rsidR="00FF3A4A" w:rsidRPr="004E62AC">
        <w:rPr>
          <w:rFonts w:eastAsia="Calibri"/>
          <w:color w:val="000000" w:themeColor="text1"/>
          <w:sz w:val="22"/>
          <w:lang w:val="pl-PL"/>
        </w:rPr>
        <w:t>0% popraw</w:t>
      </w:r>
      <w:r w:rsidR="00AB3698">
        <w:rPr>
          <w:rFonts w:eastAsia="Calibri"/>
          <w:color w:val="000000" w:themeColor="text1"/>
          <w:sz w:val="22"/>
          <w:lang w:val="pl-PL"/>
        </w:rPr>
        <w:t>y</w:t>
      </w:r>
      <w:r w:rsidR="00FF3A4A" w:rsidRPr="004E62AC">
        <w:rPr>
          <w:rFonts w:eastAsia="Calibri"/>
          <w:color w:val="000000" w:themeColor="text1"/>
          <w:sz w:val="22"/>
          <w:lang w:val="pl-PL"/>
        </w:rPr>
        <w:t xml:space="preserve"> wskaźników</w:t>
      </w:r>
    </w:p>
    <w:p w14:paraId="6093D269" w14:textId="4AE4CF57" w:rsidR="006B10FA" w:rsidRPr="00060165" w:rsidRDefault="006B10FA" w:rsidP="00F84B72">
      <w:pPr>
        <w:pStyle w:val="EYBulletedList1"/>
        <w:numPr>
          <w:ilvl w:val="1"/>
          <w:numId w:val="11"/>
        </w:numPr>
        <w:rPr>
          <w:rFonts w:eastAsia="Calibri"/>
          <w:b/>
          <w:color w:val="000000" w:themeColor="text1"/>
          <w:sz w:val="22"/>
          <w:lang w:val="pl-PL"/>
        </w:rPr>
      </w:pPr>
      <w:r>
        <w:rPr>
          <w:rFonts w:eastAsia="Calibri"/>
          <w:b/>
          <w:sz w:val="22"/>
          <w:lang w:val="pl-PL"/>
        </w:rPr>
        <w:t xml:space="preserve">Świadczenia uzupełniające: </w:t>
      </w:r>
      <w:r>
        <w:rPr>
          <w:rFonts w:eastAsia="Calibri"/>
          <w:sz w:val="22"/>
          <w:lang w:val="pl-PL"/>
        </w:rPr>
        <w:t>przyjęto, że w modelu opieki koordynowanej pacjenci będą korzystać z opieki dietetyka, opieki psychologa, edukacji i opieki fizjoterapeuty zgodnie z poniższym schematem</w:t>
      </w:r>
      <w:r>
        <w:rPr>
          <w:rFonts w:eastAsia="Calibri"/>
          <w:b/>
          <w:sz w:val="22"/>
          <w:lang w:val="pl-PL"/>
        </w:rPr>
        <w:t xml:space="preserve"> </w:t>
      </w:r>
    </w:p>
    <w:p w14:paraId="7C89D8A8" w14:textId="40EA509E" w:rsidR="006B10FA" w:rsidRDefault="006B10FA" w:rsidP="00060165">
      <w:pPr>
        <w:pStyle w:val="Legenda"/>
        <w:keepNext/>
        <w:ind w:left="567"/>
        <w:rPr>
          <w:b/>
          <w:lang w:val="pl-PL"/>
        </w:rPr>
      </w:pPr>
      <w:bookmarkStart w:id="331" w:name="_Toc486537985"/>
      <w:r w:rsidRPr="00060165">
        <w:rPr>
          <w:b/>
          <w:i w:val="0"/>
          <w:color w:val="auto"/>
          <w:lang w:val="pl-PL"/>
        </w:rPr>
        <w:t xml:space="preserve">Tabela </w:t>
      </w:r>
      <w:r w:rsidRPr="00060165">
        <w:rPr>
          <w:b/>
          <w:i w:val="0"/>
          <w:color w:val="auto"/>
          <w:lang w:val="pl-PL"/>
        </w:rPr>
        <w:fldChar w:fldCharType="begin"/>
      </w:r>
      <w:r w:rsidRPr="00060165">
        <w:rPr>
          <w:b/>
          <w:i w:val="0"/>
          <w:color w:val="auto"/>
          <w:lang w:val="pl-PL"/>
        </w:rPr>
        <w:instrText xml:space="preserve"> SEQ Tabela \* ARABIC </w:instrText>
      </w:r>
      <w:r w:rsidRPr="00060165">
        <w:rPr>
          <w:b/>
          <w:i w:val="0"/>
          <w:color w:val="auto"/>
          <w:lang w:val="pl-PL"/>
        </w:rPr>
        <w:fldChar w:fldCharType="separate"/>
      </w:r>
      <w:r w:rsidR="005C7285">
        <w:rPr>
          <w:b/>
          <w:i w:val="0"/>
          <w:noProof/>
          <w:color w:val="auto"/>
          <w:lang w:val="pl-PL"/>
        </w:rPr>
        <w:t>22</w:t>
      </w:r>
      <w:r w:rsidRPr="00060165">
        <w:rPr>
          <w:b/>
          <w:i w:val="0"/>
          <w:color w:val="auto"/>
          <w:lang w:val="pl-PL"/>
        </w:rPr>
        <w:fldChar w:fldCharType="end"/>
      </w:r>
      <w:r w:rsidRPr="006B10FA">
        <w:rPr>
          <w:b/>
          <w:i w:val="0"/>
          <w:color w:val="auto"/>
          <w:lang w:val="pl-PL"/>
        </w:rPr>
        <w:t xml:space="preserve"> </w:t>
      </w:r>
      <w:r w:rsidRPr="00307122">
        <w:rPr>
          <w:b/>
          <w:i w:val="0"/>
          <w:color w:val="auto"/>
          <w:lang w:val="pl-PL"/>
        </w:rPr>
        <w:t xml:space="preserve">Proponowana liczba </w:t>
      </w:r>
      <w:r>
        <w:rPr>
          <w:b/>
          <w:i w:val="0"/>
          <w:color w:val="auto"/>
          <w:lang w:val="pl-PL"/>
        </w:rPr>
        <w:t>świadczeń uzupełniających</w:t>
      </w:r>
      <w:r w:rsidRPr="00307122">
        <w:rPr>
          <w:b/>
          <w:i w:val="0"/>
          <w:color w:val="auto"/>
          <w:lang w:val="pl-PL"/>
        </w:rPr>
        <w:t xml:space="preserve"> w roku w poszczególnych stadiach zaawansowania </w:t>
      </w:r>
      <w:proofErr w:type="spellStart"/>
      <w:r w:rsidRPr="00307122">
        <w:rPr>
          <w:b/>
          <w:i w:val="0"/>
          <w:color w:val="auto"/>
          <w:lang w:val="pl-PL"/>
        </w:rPr>
        <w:t>PChN</w:t>
      </w:r>
      <w:bookmarkEnd w:id="331"/>
      <w:proofErr w:type="spellEnd"/>
    </w:p>
    <w:p w14:paraId="4D2C7509" w14:textId="45A1C0E0" w:rsidR="006B10FA" w:rsidRPr="00060165" w:rsidRDefault="006B10FA" w:rsidP="00060165">
      <w:pPr>
        <w:ind w:left="426"/>
        <w:rPr>
          <w:lang w:val="pl-PL"/>
        </w:rPr>
      </w:pPr>
      <w:r>
        <w:rPr>
          <w:noProof/>
          <w:lang w:val="pl-PL" w:eastAsia="pl-PL"/>
        </w:rPr>
        <w:drawing>
          <wp:inline distT="0" distB="0" distL="0" distR="0" wp14:anchorId="28D89547" wp14:editId="0A7856AC">
            <wp:extent cx="5785485" cy="1914525"/>
            <wp:effectExtent l="0" t="0" r="571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5485" cy="1914525"/>
                    </a:xfrm>
                    <a:prstGeom prst="rect">
                      <a:avLst/>
                    </a:prstGeom>
                    <a:noFill/>
                  </pic:spPr>
                </pic:pic>
              </a:graphicData>
            </a:graphic>
          </wp:inline>
        </w:drawing>
      </w:r>
    </w:p>
    <w:p w14:paraId="4895983A" w14:textId="77777777" w:rsidR="006B10FA" w:rsidRPr="00307122" w:rsidRDefault="006B10FA" w:rsidP="006B10FA">
      <w:pPr>
        <w:pStyle w:val="EYBulletedList1"/>
        <w:numPr>
          <w:ilvl w:val="0"/>
          <w:numId w:val="0"/>
        </w:numPr>
        <w:ind w:left="576"/>
        <w:rPr>
          <w:rFonts w:eastAsia="Calibri"/>
          <w:sz w:val="18"/>
          <w:szCs w:val="18"/>
          <w:lang w:val="pl-PL"/>
        </w:rPr>
      </w:pPr>
      <w:r w:rsidRPr="006B10FA" w:rsidDel="006B10FA">
        <w:rPr>
          <w:rFonts w:eastAsia="Calibri"/>
          <w:b/>
          <w:lang w:val="pl-PL"/>
        </w:rPr>
        <w:t xml:space="preserve"> </w:t>
      </w:r>
      <w:r w:rsidRPr="00307122">
        <w:rPr>
          <w:rFonts w:eastAsia="Calibri"/>
          <w:sz w:val="18"/>
          <w:szCs w:val="18"/>
          <w:lang w:val="pl-PL"/>
        </w:rPr>
        <w:t>Źródło: Opracowanie własne EY na podstawie dyskusji ze środowiskiem nefrologicznym</w:t>
      </w:r>
    </w:p>
    <w:p w14:paraId="66A2FF26" w14:textId="395A6B79" w:rsidR="00923A99" w:rsidRDefault="00923A99">
      <w:pPr>
        <w:widowControl/>
        <w:autoSpaceDE/>
        <w:autoSpaceDN/>
        <w:adjustRightInd/>
        <w:spacing w:before="0" w:after="0" w:line="240" w:lineRule="auto"/>
        <w:jc w:val="left"/>
        <w:rPr>
          <w:b/>
          <w:iCs/>
          <w:sz w:val="18"/>
          <w:szCs w:val="18"/>
          <w:lang w:val="pl-PL"/>
        </w:rPr>
      </w:pPr>
    </w:p>
    <w:p w14:paraId="3D506BE4" w14:textId="72BA0DF9" w:rsidR="003C7D89" w:rsidRPr="00060165" w:rsidRDefault="003C7D89" w:rsidP="00060165">
      <w:pPr>
        <w:rPr>
          <w:rFonts w:eastAsia="Calibri"/>
          <w:i/>
          <w:lang w:val="pl-PL"/>
        </w:rPr>
      </w:pPr>
      <w:r w:rsidRPr="00060165">
        <w:rPr>
          <w:rFonts w:eastAsia="Calibri"/>
          <w:lang w:val="pl-PL"/>
        </w:rPr>
        <w:t>W poniższej tabeli przedstawiono średnie roczne koszty opieki nad pacjentem dializowanym w aktualnym i proponowanym modelu opieki.</w:t>
      </w:r>
    </w:p>
    <w:p w14:paraId="162339A9" w14:textId="78239B35" w:rsidR="00A81AB7" w:rsidRPr="00A81AB7" w:rsidRDefault="00A81AB7" w:rsidP="00A81AB7">
      <w:pPr>
        <w:pStyle w:val="Legenda"/>
        <w:keepNext/>
        <w:rPr>
          <w:b/>
          <w:i w:val="0"/>
          <w:color w:val="auto"/>
          <w:lang w:val="pl-PL"/>
        </w:rPr>
      </w:pPr>
      <w:bookmarkStart w:id="332" w:name="_Toc486537986"/>
      <w:r w:rsidRPr="00A81AB7">
        <w:rPr>
          <w:b/>
          <w:i w:val="0"/>
          <w:color w:val="auto"/>
          <w:lang w:val="pl-PL"/>
        </w:rPr>
        <w:lastRenderedPageBreak/>
        <w:t xml:space="preserve">Tabela </w:t>
      </w:r>
      <w:r w:rsidRPr="00A81AB7">
        <w:rPr>
          <w:b/>
          <w:i w:val="0"/>
          <w:color w:val="auto"/>
          <w:lang w:val="pl-PL"/>
        </w:rPr>
        <w:fldChar w:fldCharType="begin"/>
      </w:r>
      <w:r w:rsidRPr="00A81AB7">
        <w:rPr>
          <w:b/>
          <w:i w:val="0"/>
          <w:color w:val="auto"/>
          <w:lang w:val="pl-PL"/>
        </w:rPr>
        <w:instrText xml:space="preserve"> SEQ Tabela \* ARABIC </w:instrText>
      </w:r>
      <w:r w:rsidRPr="00A81AB7">
        <w:rPr>
          <w:b/>
          <w:i w:val="0"/>
          <w:color w:val="auto"/>
          <w:lang w:val="pl-PL"/>
        </w:rPr>
        <w:fldChar w:fldCharType="separate"/>
      </w:r>
      <w:r w:rsidR="005C7285">
        <w:rPr>
          <w:b/>
          <w:i w:val="0"/>
          <w:noProof/>
          <w:color w:val="auto"/>
          <w:lang w:val="pl-PL"/>
        </w:rPr>
        <w:t>23</w:t>
      </w:r>
      <w:r w:rsidRPr="00A81AB7">
        <w:rPr>
          <w:b/>
          <w:i w:val="0"/>
          <w:color w:val="auto"/>
          <w:lang w:val="pl-PL"/>
        </w:rPr>
        <w:fldChar w:fldCharType="end"/>
      </w:r>
      <w:r w:rsidRPr="00A81AB7">
        <w:rPr>
          <w:lang w:val="pl-PL"/>
        </w:rPr>
        <w:t xml:space="preserve"> </w:t>
      </w:r>
      <w:r>
        <w:rPr>
          <w:b/>
          <w:i w:val="0"/>
          <w:color w:val="auto"/>
          <w:lang w:val="pl-PL"/>
        </w:rPr>
        <w:t xml:space="preserve">Roczny koszt opieki w aktualnym i </w:t>
      </w:r>
      <w:r w:rsidRPr="0045286E">
        <w:rPr>
          <w:b/>
          <w:i w:val="0"/>
          <w:color w:val="auto"/>
          <w:lang w:val="pl-PL"/>
        </w:rPr>
        <w:t xml:space="preserve">proponowanym modelu opieki nad pacjentem </w:t>
      </w:r>
      <w:r w:rsidR="00B439CC">
        <w:rPr>
          <w:b/>
          <w:i w:val="0"/>
          <w:color w:val="auto"/>
          <w:lang w:val="pl-PL"/>
        </w:rPr>
        <w:t>dializowanym</w:t>
      </w:r>
      <w:bookmarkEnd w:id="332"/>
    </w:p>
    <w:tbl>
      <w:tblPr>
        <w:tblStyle w:val="Tabela-Siatka"/>
        <w:tblW w:w="0" w:type="auto"/>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18"/>
        <w:gridCol w:w="3758"/>
        <w:gridCol w:w="1728"/>
        <w:gridCol w:w="1843"/>
      </w:tblGrid>
      <w:tr w:rsidR="00A81AB7" w:rsidRPr="00174296" w14:paraId="5E0DBB01" w14:textId="77777777" w:rsidTr="00517B4F">
        <w:tc>
          <w:tcPr>
            <w:tcW w:w="1318" w:type="dxa"/>
            <w:tcBorders>
              <w:top w:val="nil"/>
              <w:bottom w:val="single" w:sz="4" w:space="0" w:color="808080" w:themeColor="background1" w:themeShade="80"/>
            </w:tcBorders>
            <w:shd w:val="clear" w:color="auto" w:fill="FFE600"/>
            <w:vAlign w:val="center"/>
          </w:tcPr>
          <w:p w14:paraId="6067CE9A" w14:textId="77777777" w:rsidR="00A81AB7" w:rsidRPr="00602625" w:rsidRDefault="00A81AB7" w:rsidP="00A81AB7">
            <w:pPr>
              <w:spacing w:before="60" w:after="60" w:line="240" w:lineRule="auto"/>
              <w:jc w:val="center"/>
              <w:rPr>
                <w:rFonts w:eastAsia="Calibri"/>
                <w:b/>
                <w:sz w:val="18"/>
                <w:szCs w:val="18"/>
                <w:lang w:val="pl-PL"/>
              </w:rPr>
            </w:pPr>
          </w:p>
        </w:tc>
        <w:tc>
          <w:tcPr>
            <w:tcW w:w="3758" w:type="dxa"/>
            <w:tcBorders>
              <w:top w:val="nil"/>
              <w:bottom w:val="single" w:sz="4" w:space="0" w:color="808080" w:themeColor="background1" w:themeShade="80"/>
              <w:right w:val="single" w:sz="4" w:space="0" w:color="808080" w:themeColor="background1" w:themeShade="80"/>
            </w:tcBorders>
            <w:shd w:val="clear" w:color="auto" w:fill="FFE600"/>
            <w:vAlign w:val="center"/>
          </w:tcPr>
          <w:p w14:paraId="096DCB5B" w14:textId="77777777" w:rsidR="00A81AB7" w:rsidRPr="006A51D6" w:rsidRDefault="00A81AB7" w:rsidP="00A81AB7">
            <w:pPr>
              <w:spacing w:before="60" w:after="60" w:line="240" w:lineRule="auto"/>
              <w:jc w:val="left"/>
              <w:rPr>
                <w:rFonts w:eastAsia="Calibri"/>
                <w:b/>
                <w:sz w:val="18"/>
                <w:szCs w:val="18"/>
                <w:lang w:val="pl-PL"/>
              </w:rPr>
            </w:pPr>
            <w:r>
              <w:rPr>
                <w:rFonts w:eastAsia="Calibri"/>
                <w:b/>
                <w:sz w:val="18"/>
                <w:szCs w:val="18"/>
                <w:lang w:val="pl-PL"/>
              </w:rPr>
              <w:t>Zakres odpowiedzialności</w:t>
            </w:r>
          </w:p>
        </w:tc>
        <w:tc>
          <w:tcPr>
            <w:tcW w:w="1728" w:type="dxa"/>
            <w:tcBorders>
              <w:top w:val="nil"/>
              <w:left w:val="single" w:sz="4" w:space="0" w:color="808080" w:themeColor="background1" w:themeShade="80"/>
              <w:bottom w:val="single" w:sz="4" w:space="0" w:color="808080" w:themeColor="background1" w:themeShade="80"/>
              <w:right w:val="nil"/>
            </w:tcBorders>
            <w:shd w:val="clear" w:color="auto" w:fill="FFE600"/>
            <w:vAlign w:val="center"/>
          </w:tcPr>
          <w:p w14:paraId="541F1AA1" w14:textId="77777777" w:rsidR="00A81AB7" w:rsidRPr="006A51D6" w:rsidRDefault="00A81AB7" w:rsidP="00A81AB7">
            <w:pPr>
              <w:pStyle w:val="EYBulletedList1"/>
              <w:numPr>
                <w:ilvl w:val="0"/>
                <w:numId w:val="0"/>
              </w:numPr>
              <w:spacing w:beforeLines="20" w:before="48" w:afterLines="20" w:after="48"/>
              <w:jc w:val="center"/>
              <w:rPr>
                <w:b/>
                <w:sz w:val="18"/>
                <w:szCs w:val="18"/>
                <w:lang w:val="pl-PL"/>
              </w:rPr>
            </w:pPr>
            <w:r>
              <w:rPr>
                <w:b/>
                <w:sz w:val="18"/>
                <w:szCs w:val="18"/>
                <w:lang w:val="pl-PL"/>
              </w:rPr>
              <w:t>Aktualny model opieki</w:t>
            </w:r>
          </w:p>
        </w:tc>
        <w:tc>
          <w:tcPr>
            <w:tcW w:w="1843" w:type="dxa"/>
            <w:tcBorders>
              <w:top w:val="nil"/>
              <w:left w:val="nil"/>
              <w:bottom w:val="single" w:sz="4" w:space="0" w:color="808080" w:themeColor="background1" w:themeShade="80"/>
              <w:right w:val="nil"/>
            </w:tcBorders>
            <w:shd w:val="clear" w:color="auto" w:fill="FFE600"/>
            <w:vAlign w:val="center"/>
          </w:tcPr>
          <w:p w14:paraId="484D71A6" w14:textId="77777777" w:rsidR="00A81AB7" w:rsidRPr="006A51D6" w:rsidRDefault="00517B4F" w:rsidP="0090272B">
            <w:pPr>
              <w:pStyle w:val="EYBulletedList1"/>
              <w:numPr>
                <w:ilvl w:val="0"/>
                <w:numId w:val="0"/>
              </w:numPr>
              <w:spacing w:beforeLines="20" w:before="48" w:afterLines="20" w:after="48"/>
              <w:jc w:val="center"/>
              <w:rPr>
                <w:b/>
                <w:sz w:val="18"/>
                <w:szCs w:val="18"/>
                <w:lang w:val="pl-PL"/>
              </w:rPr>
            </w:pPr>
            <w:r w:rsidRPr="00742D29">
              <w:rPr>
                <w:b/>
                <w:noProof/>
                <w:sz w:val="18"/>
                <w:szCs w:val="18"/>
                <w:lang w:val="pl-PL" w:eastAsia="pl-PL"/>
              </w:rPr>
              <w:drawing>
                <wp:anchor distT="0" distB="0" distL="114300" distR="114300" simplePos="0" relativeHeight="251672576" behindDoc="0" locked="0" layoutInCell="1" allowOverlap="1" wp14:anchorId="3A45E36F" wp14:editId="2632F8C9">
                  <wp:simplePos x="0" y="0"/>
                  <wp:positionH relativeFrom="column">
                    <wp:posOffset>-149860</wp:posOffset>
                  </wp:positionH>
                  <wp:positionV relativeFrom="paragraph">
                    <wp:posOffset>121920</wp:posOffset>
                  </wp:positionV>
                  <wp:extent cx="246380" cy="190500"/>
                  <wp:effectExtent l="889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246380" cy="190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0272B">
              <w:rPr>
                <w:b/>
                <w:sz w:val="18"/>
                <w:szCs w:val="18"/>
                <w:lang w:val="pl-PL"/>
              </w:rPr>
              <w:t>P</w:t>
            </w:r>
            <w:r w:rsidR="00A81AB7">
              <w:rPr>
                <w:b/>
                <w:sz w:val="18"/>
                <w:szCs w:val="18"/>
                <w:lang w:val="pl-PL"/>
              </w:rPr>
              <w:t>roponowany model</w:t>
            </w:r>
            <w:r w:rsidR="008B78AE">
              <w:rPr>
                <w:b/>
                <w:sz w:val="18"/>
                <w:szCs w:val="18"/>
                <w:lang w:val="pl-PL"/>
              </w:rPr>
              <w:t xml:space="preserve"> opieki</w:t>
            </w:r>
          </w:p>
        </w:tc>
      </w:tr>
      <w:tr w:rsidR="00A81AB7" w:rsidRPr="00CE79B8" w14:paraId="2376DB63" w14:textId="77777777" w:rsidTr="006E6AFD">
        <w:tc>
          <w:tcPr>
            <w:tcW w:w="1318" w:type="dxa"/>
            <w:tcBorders>
              <w:top w:val="single" w:sz="4" w:space="0" w:color="808080" w:themeColor="background1" w:themeShade="80"/>
            </w:tcBorders>
            <w:shd w:val="clear" w:color="auto" w:fill="auto"/>
            <w:vAlign w:val="center"/>
          </w:tcPr>
          <w:p w14:paraId="4FCBFD10" w14:textId="77777777" w:rsidR="00A81AB7" w:rsidRPr="00AF1589" w:rsidRDefault="00A81AB7" w:rsidP="00A81AB7">
            <w:pPr>
              <w:pStyle w:val="EYBulletedList1"/>
              <w:numPr>
                <w:ilvl w:val="0"/>
                <w:numId w:val="0"/>
              </w:numPr>
              <w:spacing w:beforeLines="20" w:before="48" w:afterLines="20" w:after="48"/>
              <w:rPr>
                <w:sz w:val="18"/>
                <w:szCs w:val="18"/>
                <w:lang w:val="pl-PL"/>
              </w:rPr>
            </w:pPr>
            <w:r>
              <w:rPr>
                <w:sz w:val="18"/>
                <w:szCs w:val="18"/>
                <w:lang w:val="pl-PL"/>
              </w:rPr>
              <w:t>Stacja dializ</w:t>
            </w:r>
          </w:p>
        </w:tc>
        <w:tc>
          <w:tcPr>
            <w:tcW w:w="3758" w:type="dxa"/>
            <w:tcBorders>
              <w:top w:val="single" w:sz="4" w:space="0" w:color="808080" w:themeColor="background1" w:themeShade="80"/>
            </w:tcBorders>
            <w:shd w:val="clear" w:color="auto" w:fill="auto"/>
          </w:tcPr>
          <w:p w14:paraId="5FB837A3" w14:textId="77777777" w:rsidR="00A81AB7" w:rsidRPr="009B4B30" w:rsidRDefault="00A81AB7"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Dializa otrzewnowa</w:t>
            </w:r>
          </w:p>
          <w:p w14:paraId="393B467A" w14:textId="77777777" w:rsidR="00A81AB7" w:rsidRPr="009B4B30" w:rsidRDefault="00A81AB7"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Hemodializa</w:t>
            </w:r>
          </w:p>
          <w:p w14:paraId="320B7D21" w14:textId="77777777" w:rsidR="00A81AB7" w:rsidRPr="009B4B30" w:rsidRDefault="00A81AB7"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Hemodiafiltracja</w:t>
            </w:r>
          </w:p>
          <w:p w14:paraId="7DCC2769" w14:textId="77777777" w:rsidR="00A81AB7" w:rsidRDefault="00A81AB7" w:rsidP="00F84B72">
            <w:pPr>
              <w:pStyle w:val="EYBulletedList1"/>
              <w:numPr>
                <w:ilvl w:val="0"/>
                <w:numId w:val="11"/>
              </w:numPr>
              <w:spacing w:beforeLines="20" w:before="48" w:afterLines="20" w:after="48"/>
              <w:rPr>
                <w:rFonts w:eastAsia="Calibri"/>
                <w:sz w:val="18"/>
                <w:szCs w:val="18"/>
                <w:lang w:val="pl-PL"/>
              </w:rPr>
            </w:pPr>
            <w:r w:rsidRPr="009B4B30">
              <w:rPr>
                <w:rFonts w:eastAsia="Calibri"/>
                <w:sz w:val="18"/>
                <w:szCs w:val="18"/>
                <w:lang w:val="pl-PL"/>
              </w:rPr>
              <w:t>Regulacja gospodarki wapniowo-fosforanowe</w:t>
            </w:r>
            <w:r w:rsidR="00262E3A">
              <w:rPr>
                <w:rFonts w:eastAsia="Calibri"/>
                <w:sz w:val="18"/>
                <w:szCs w:val="18"/>
                <w:lang w:val="pl-PL"/>
              </w:rPr>
              <w:t>j</w:t>
            </w:r>
          </w:p>
          <w:p w14:paraId="7DCDFE10" w14:textId="62989A7B" w:rsidR="00CA0341" w:rsidRPr="009B4B30" w:rsidRDefault="00CA0341" w:rsidP="00F84B72">
            <w:pPr>
              <w:pStyle w:val="EYBulletedList1"/>
              <w:numPr>
                <w:ilvl w:val="0"/>
                <w:numId w:val="11"/>
              </w:numPr>
              <w:spacing w:beforeLines="20" w:before="48" w:afterLines="20" w:after="48"/>
              <w:rPr>
                <w:rFonts w:eastAsia="Calibri"/>
                <w:sz w:val="18"/>
                <w:szCs w:val="18"/>
                <w:lang w:val="pl-PL"/>
              </w:rPr>
            </w:pPr>
            <w:r>
              <w:rPr>
                <w:rFonts w:eastAsia="Calibri"/>
                <w:sz w:val="18"/>
                <w:szCs w:val="18"/>
                <w:lang w:val="pl-PL"/>
              </w:rPr>
              <w:t>Porady nefrologa</w:t>
            </w:r>
          </w:p>
          <w:p w14:paraId="37F4300B" w14:textId="77777777" w:rsidR="00B11EC5" w:rsidRDefault="00B11EC5" w:rsidP="00B11EC5">
            <w:pPr>
              <w:pStyle w:val="EYBulletedList1"/>
              <w:numPr>
                <w:ilvl w:val="0"/>
                <w:numId w:val="11"/>
              </w:numPr>
              <w:spacing w:beforeLines="20" w:before="48" w:afterLines="20" w:after="48"/>
              <w:rPr>
                <w:rFonts w:eastAsia="Calibri"/>
                <w:sz w:val="18"/>
                <w:szCs w:val="18"/>
                <w:lang w:val="pl-PL"/>
              </w:rPr>
            </w:pPr>
            <w:r w:rsidRPr="00B11EC5">
              <w:rPr>
                <w:rFonts w:eastAsia="Calibri"/>
                <w:sz w:val="18"/>
                <w:szCs w:val="18"/>
                <w:lang w:val="pl-PL"/>
              </w:rPr>
              <w:t>Wymiana dostępów z powodu niewydolności dotychczasowego dostępu (wtórnych)</w:t>
            </w:r>
          </w:p>
          <w:p w14:paraId="511A80F9" w14:textId="77777777" w:rsidR="0090272B" w:rsidRPr="009B4B30" w:rsidRDefault="0090272B" w:rsidP="00F84B72">
            <w:pPr>
              <w:pStyle w:val="EYBulletedList1"/>
              <w:numPr>
                <w:ilvl w:val="0"/>
                <w:numId w:val="11"/>
              </w:numPr>
              <w:spacing w:beforeLines="20" w:before="48" w:afterLines="20" w:after="48"/>
              <w:rPr>
                <w:rFonts w:eastAsia="Calibri"/>
                <w:sz w:val="18"/>
                <w:szCs w:val="18"/>
                <w:lang w:val="pl-PL"/>
              </w:rPr>
            </w:pPr>
            <w:r>
              <w:rPr>
                <w:rFonts w:eastAsia="Calibri"/>
                <w:sz w:val="18"/>
                <w:szCs w:val="18"/>
                <w:lang w:val="pl-PL"/>
              </w:rPr>
              <w:t>Leczenie powikłań leczenia nerkozastępczego</w:t>
            </w:r>
            <w:r w:rsidR="00D11156">
              <w:rPr>
                <w:rFonts w:eastAsia="Calibri"/>
                <w:sz w:val="18"/>
                <w:szCs w:val="18"/>
                <w:lang w:val="pl-PL"/>
              </w:rPr>
              <w:t xml:space="preserve"> w zakresie dostępów</w:t>
            </w:r>
          </w:p>
        </w:tc>
        <w:tc>
          <w:tcPr>
            <w:tcW w:w="1728" w:type="dxa"/>
            <w:tcBorders>
              <w:top w:val="single" w:sz="4" w:space="0" w:color="808080" w:themeColor="background1" w:themeShade="80"/>
              <w:right w:val="single" w:sz="4" w:space="0" w:color="808080" w:themeColor="background1" w:themeShade="80"/>
            </w:tcBorders>
            <w:shd w:val="clear" w:color="auto" w:fill="auto"/>
          </w:tcPr>
          <w:p w14:paraId="00D2AF52" w14:textId="77777777" w:rsidR="00A81AB7" w:rsidRPr="006E6AFD" w:rsidRDefault="00517B4F" w:rsidP="00A81AB7">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73</w:t>
            </w:r>
            <w:r w:rsidR="00D11156" w:rsidRPr="006E6AFD">
              <w:rPr>
                <w:color w:val="000000" w:themeColor="text1"/>
                <w:sz w:val="18"/>
                <w:szCs w:val="18"/>
                <w:lang w:val="pl-PL"/>
              </w:rPr>
              <w:t> </w:t>
            </w:r>
            <w:r w:rsidRPr="006E6AFD">
              <w:rPr>
                <w:color w:val="000000" w:themeColor="text1"/>
                <w:sz w:val="18"/>
                <w:szCs w:val="18"/>
                <w:lang w:val="pl-PL"/>
              </w:rPr>
              <w:t>0</w:t>
            </w:r>
            <w:r w:rsidR="00D11156" w:rsidRPr="006E6AFD">
              <w:rPr>
                <w:color w:val="000000" w:themeColor="text1"/>
                <w:sz w:val="18"/>
                <w:szCs w:val="18"/>
                <w:lang w:val="pl-PL"/>
              </w:rPr>
              <w:t>00</w:t>
            </w:r>
          </w:p>
          <w:p w14:paraId="2D9C8E9E" w14:textId="787DD072" w:rsidR="00A81AB7" w:rsidRPr="006E6AFD" w:rsidRDefault="00517B4F" w:rsidP="00A81AB7">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6</w:t>
            </w:r>
            <w:r w:rsidR="00C764A6" w:rsidRPr="006E6AFD">
              <w:rPr>
                <w:color w:val="000000" w:themeColor="text1"/>
                <w:sz w:val="18"/>
                <w:szCs w:val="18"/>
                <w:lang w:val="pl-PL"/>
              </w:rPr>
              <w:t>2</w:t>
            </w:r>
            <w:r w:rsidRPr="006E6AFD">
              <w:rPr>
                <w:color w:val="000000" w:themeColor="text1"/>
                <w:sz w:val="18"/>
                <w:szCs w:val="18"/>
                <w:lang w:val="pl-PL"/>
              </w:rPr>
              <w:t xml:space="preserve"> </w:t>
            </w:r>
            <w:r w:rsidR="00C764A6" w:rsidRPr="006E6AFD">
              <w:rPr>
                <w:color w:val="000000" w:themeColor="text1"/>
                <w:sz w:val="18"/>
                <w:szCs w:val="18"/>
                <w:lang w:val="pl-PL"/>
              </w:rPr>
              <w:t>08</w:t>
            </w:r>
            <w:r w:rsidR="002700DD">
              <w:rPr>
                <w:color w:val="000000" w:themeColor="text1"/>
                <w:sz w:val="18"/>
                <w:szCs w:val="18"/>
                <w:lang w:val="pl-PL"/>
              </w:rPr>
              <w:t>8</w:t>
            </w:r>
          </w:p>
          <w:p w14:paraId="6A181538" w14:textId="77777777" w:rsidR="00A81AB7" w:rsidRPr="006E6AFD" w:rsidRDefault="00C764A6" w:rsidP="00E452F8">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x</w:t>
            </w:r>
          </w:p>
          <w:p w14:paraId="38F2F82C" w14:textId="77777777" w:rsidR="00A81AB7" w:rsidRPr="006E6AFD" w:rsidRDefault="00517B4F" w:rsidP="00A81AB7">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1</w:t>
            </w:r>
            <w:r w:rsidR="00D11156" w:rsidRPr="006E6AFD">
              <w:rPr>
                <w:color w:val="000000" w:themeColor="text1"/>
                <w:sz w:val="18"/>
                <w:szCs w:val="18"/>
                <w:lang w:val="pl-PL"/>
              </w:rPr>
              <w:t> </w:t>
            </w:r>
            <w:r w:rsidR="00F222E4" w:rsidRPr="006E6AFD">
              <w:rPr>
                <w:color w:val="000000" w:themeColor="text1"/>
                <w:sz w:val="18"/>
                <w:szCs w:val="18"/>
                <w:lang w:val="pl-PL"/>
              </w:rPr>
              <w:t>410</w:t>
            </w:r>
          </w:p>
          <w:p w14:paraId="5C2784A7" w14:textId="77777777" w:rsidR="00A81AB7" w:rsidRPr="006E6AFD" w:rsidRDefault="00A81AB7" w:rsidP="00A81AB7">
            <w:pPr>
              <w:pStyle w:val="EYBulletedList1"/>
              <w:numPr>
                <w:ilvl w:val="0"/>
                <w:numId w:val="0"/>
              </w:numPr>
              <w:spacing w:beforeLines="20" w:before="48" w:afterLines="25" w:after="60"/>
              <w:jc w:val="center"/>
              <w:rPr>
                <w:color w:val="000000" w:themeColor="text1"/>
                <w:sz w:val="18"/>
                <w:szCs w:val="18"/>
                <w:lang w:val="pl-PL"/>
              </w:rPr>
            </w:pPr>
          </w:p>
          <w:p w14:paraId="136B4577" w14:textId="6B5CD21F" w:rsidR="00CA0341" w:rsidRDefault="00CA0341" w:rsidP="00A81AB7">
            <w:pPr>
              <w:pStyle w:val="EYBulletedList1"/>
              <w:numPr>
                <w:ilvl w:val="0"/>
                <w:numId w:val="0"/>
              </w:numPr>
              <w:spacing w:beforeLines="20" w:before="48" w:afterLines="25" w:after="60"/>
              <w:jc w:val="center"/>
              <w:rPr>
                <w:color w:val="000000" w:themeColor="text1"/>
                <w:sz w:val="18"/>
                <w:szCs w:val="18"/>
                <w:lang w:val="pl-PL"/>
              </w:rPr>
            </w:pPr>
            <w:r>
              <w:rPr>
                <w:color w:val="000000" w:themeColor="text1"/>
                <w:sz w:val="18"/>
                <w:szCs w:val="18"/>
                <w:lang w:val="pl-PL"/>
              </w:rPr>
              <w:t>86</w:t>
            </w:r>
          </w:p>
          <w:p w14:paraId="7318DE3F" w14:textId="0DB290CA" w:rsidR="00A81AB7" w:rsidRPr="006E6AFD" w:rsidRDefault="00B11EC5" w:rsidP="00A81AB7">
            <w:pPr>
              <w:pStyle w:val="EYBulletedList1"/>
              <w:numPr>
                <w:ilvl w:val="0"/>
                <w:numId w:val="0"/>
              </w:numPr>
              <w:spacing w:beforeLines="20" w:before="48" w:afterLines="25" w:after="60"/>
              <w:jc w:val="center"/>
              <w:rPr>
                <w:color w:val="000000" w:themeColor="text1"/>
                <w:sz w:val="18"/>
                <w:szCs w:val="18"/>
                <w:lang w:val="pl-PL"/>
              </w:rPr>
            </w:pPr>
            <w:r>
              <w:rPr>
                <w:color w:val="000000" w:themeColor="text1"/>
                <w:sz w:val="18"/>
                <w:szCs w:val="18"/>
                <w:lang w:val="pl-PL"/>
              </w:rPr>
              <w:t>413</w:t>
            </w:r>
          </w:p>
          <w:p w14:paraId="1C130017" w14:textId="77777777" w:rsidR="0090272B" w:rsidRPr="006E6AFD" w:rsidRDefault="0090272B" w:rsidP="00A81AB7">
            <w:pPr>
              <w:pStyle w:val="EYBulletedList1"/>
              <w:numPr>
                <w:ilvl w:val="0"/>
                <w:numId w:val="0"/>
              </w:numPr>
              <w:spacing w:beforeLines="20" w:before="48" w:afterLines="25" w:after="60"/>
              <w:jc w:val="center"/>
              <w:rPr>
                <w:color w:val="000000" w:themeColor="text1"/>
                <w:sz w:val="18"/>
                <w:szCs w:val="18"/>
                <w:lang w:val="pl-PL"/>
              </w:rPr>
            </w:pPr>
          </w:p>
          <w:p w14:paraId="1FF726BC" w14:textId="1669541A" w:rsidR="0090272B" w:rsidRPr="006E6AFD" w:rsidRDefault="00B11EC5" w:rsidP="00A81AB7">
            <w:pPr>
              <w:pStyle w:val="EYBulletedList1"/>
              <w:numPr>
                <w:ilvl w:val="0"/>
                <w:numId w:val="0"/>
              </w:numPr>
              <w:spacing w:beforeLines="20" w:before="48" w:afterLines="25" w:after="60"/>
              <w:jc w:val="center"/>
              <w:rPr>
                <w:color w:val="000000" w:themeColor="text1"/>
                <w:sz w:val="18"/>
                <w:szCs w:val="18"/>
                <w:lang w:val="pl-PL"/>
              </w:rPr>
            </w:pPr>
            <w:r>
              <w:rPr>
                <w:color w:val="000000" w:themeColor="text1"/>
                <w:sz w:val="18"/>
                <w:szCs w:val="18"/>
                <w:lang w:val="pl-PL"/>
              </w:rPr>
              <w:t>595</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95AC7F" w14:textId="77777777" w:rsidR="00517B4F" w:rsidRPr="006E6AFD" w:rsidRDefault="00517B4F" w:rsidP="00517B4F">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73 0</w:t>
            </w:r>
            <w:r w:rsidR="00D11156" w:rsidRPr="006E6AFD">
              <w:rPr>
                <w:color w:val="000000" w:themeColor="text1"/>
                <w:sz w:val="18"/>
                <w:szCs w:val="18"/>
                <w:lang w:val="pl-PL"/>
              </w:rPr>
              <w:t>00</w:t>
            </w:r>
          </w:p>
          <w:p w14:paraId="740778CC" w14:textId="61CC1E31" w:rsidR="00C764A6" w:rsidRPr="006E6AFD" w:rsidRDefault="00C764A6" w:rsidP="00E452F8">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62 08</w:t>
            </w:r>
            <w:r w:rsidR="002700DD">
              <w:rPr>
                <w:color w:val="000000" w:themeColor="text1"/>
                <w:sz w:val="18"/>
                <w:szCs w:val="18"/>
                <w:lang w:val="pl-PL"/>
              </w:rPr>
              <w:t>8</w:t>
            </w:r>
          </w:p>
          <w:p w14:paraId="5DB22331" w14:textId="6EAF3935" w:rsidR="00517B4F" w:rsidRPr="006E6AFD" w:rsidRDefault="00B11EC5" w:rsidP="00E452F8">
            <w:pPr>
              <w:pStyle w:val="EYBulletedList1"/>
              <w:numPr>
                <w:ilvl w:val="0"/>
                <w:numId w:val="0"/>
              </w:numPr>
              <w:spacing w:beforeLines="20" w:before="48" w:afterLines="25" w:after="60"/>
              <w:jc w:val="center"/>
              <w:rPr>
                <w:color w:val="000000" w:themeColor="text1"/>
                <w:sz w:val="18"/>
                <w:szCs w:val="18"/>
                <w:lang w:val="pl-PL"/>
              </w:rPr>
            </w:pPr>
            <w:r>
              <w:rPr>
                <w:color w:val="000000" w:themeColor="text1"/>
                <w:sz w:val="18"/>
                <w:szCs w:val="18"/>
                <w:lang w:val="pl-PL"/>
              </w:rPr>
              <w:t>77 610</w:t>
            </w:r>
          </w:p>
          <w:p w14:paraId="15FCFD06" w14:textId="77777777" w:rsidR="00A81AB7" w:rsidRPr="006E6AFD" w:rsidRDefault="00517B4F" w:rsidP="00517B4F">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1</w:t>
            </w:r>
            <w:r w:rsidR="00D11156" w:rsidRPr="006E6AFD">
              <w:rPr>
                <w:color w:val="000000" w:themeColor="text1"/>
                <w:sz w:val="18"/>
                <w:szCs w:val="18"/>
                <w:lang w:val="pl-PL"/>
              </w:rPr>
              <w:t> </w:t>
            </w:r>
            <w:r w:rsidR="00F222E4" w:rsidRPr="006E6AFD">
              <w:rPr>
                <w:color w:val="000000" w:themeColor="text1"/>
                <w:sz w:val="18"/>
                <w:szCs w:val="18"/>
                <w:lang w:val="pl-PL"/>
              </w:rPr>
              <w:t>410</w:t>
            </w:r>
          </w:p>
          <w:p w14:paraId="25838A13" w14:textId="77777777" w:rsidR="00517B4F" w:rsidRPr="006E6AFD" w:rsidRDefault="00517B4F" w:rsidP="00517B4F">
            <w:pPr>
              <w:pStyle w:val="EYBulletedList1"/>
              <w:numPr>
                <w:ilvl w:val="0"/>
                <w:numId w:val="0"/>
              </w:numPr>
              <w:spacing w:beforeLines="20" w:before="48" w:afterLines="25" w:after="60"/>
              <w:jc w:val="center"/>
              <w:rPr>
                <w:color w:val="000000" w:themeColor="text1"/>
                <w:sz w:val="18"/>
                <w:szCs w:val="18"/>
                <w:lang w:val="pl-PL"/>
              </w:rPr>
            </w:pPr>
          </w:p>
          <w:p w14:paraId="1554A579" w14:textId="44A02082" w:rsidR="00CA0341" w:rsidRDefault="00CA0341" w:rsidP="00517B4F">
            <w:pPr>
              <w:pStyle w:val="EYBulletedList1"/>
              <w:numPr>
                <w:ilvl w:val="0"/>
                <w:numId w:val="0"/>
              </w:numPr>
              <w:spacing w:beforeLines="20" w:before="48" w:afterLines="25" w:after="60"/>
              <w:jc w:val="center"/>
              <w:rPr>
                <w:color w:val="000000" w:themeColor="text1"/>
                <w:sz w:val="18"/>
                <w:szCs w:val="18"/>
                <w:lang w:val="pl-PL"/>
              </w:rPr>
            </w:pPr>
            <w:r>
              <w:rPr>
                <w:color w:val="000000" w:themeColor="text1"/>
                <w:sz w:val="18"/>
                <w:szCs w:val="18"/>
                <w:lang w:val="pl-PL"/>
              </w:rPr>
              <w:t>2</w:t>
            </w:r>
            <w:r w:rsidR="0039153F">
              <w:rPr>
                <w:color w:val="000000" w:themeColor="text1"/>
                <w:sz w:val="18"/>
                <w:szCs w:val="18"/>
                <w:lang w:val="pl-PL"/>
              </w:rPr>
              <w:t> </w:t>
            </w:r>
            <w:r>
              <w:rPr>
                <w:color w:val="000000" w:themeColor="text1"/>
                <w:sz w:val="18"/>
                <w:szCs w:val="18"/>
                <w:lang w:val="pl-PL"/>
              </w:rPr>
              <w:t>225</w:t>
            </w:r>
            <w:r w:rsidR="0039153F">
              <w:rPr>
                <w:color w:val="000000" w:themeColor="text1"/>
                <w:sz w:val="18"/>
                <w:szCs w:val="18"/>
                <w:lang w:val="pl-PL"/>
              </w:rPr>
              <w:t>*</w:t>
            </w:r>
          </w:p>
          <w:p w14:paraId="4254CBE6" w14:textId="53328650" w:rsidR="00517B4F" w:rsidRPr="006E6AFD" w:rsidRDefault="0090272B" w:rsidP="00517B4F">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2</w:t>
            </w:r>
            <w:r w:rsidR="00B11EC5">
              <w:rPr>
                <w:color w:val="000000" w:themeColor="text1"/>
                <w:sz w:val="18"/>
                <w:szCs w:val="18"/>
                <w:lang w:val="pl-PL"/>
              </w:rPr>
              <w:t>89</w:t>
            </w:r>
          </w:p>
          <w:p w14:paraId="4A1F1DF5" w14:textId="77777777" w:rsidR="0090272B" w:rsidRPr="006E6AFD" w:rsidRDefault="0090272B" w:rsidP="00517B4F">
            <w:pPr>
              <w:pStyle w:val="EYBulletedList1"/>
              <w:numPr>
                <w:ilvl w:val="0"/>
                <w:numId w:val="0"/>
              </w:numPr>
              <w:spacing w:beforeLines="20" w:before="48" w:afterLines="25" w:after="60"/>
              <w:jc w:val="center"/>
              <w:rPr>
                <w:color w:val="000000" w:themeColor="text1"/>
                <w:sz w:val="18"/>
                <w:szCs w:val="18"/>
                <w:lang w:val="pl-PL"/>
              </w:rPr>
            </w:pPr>
          </w:p>
          <w:p w14:paraId="26CD0CF5" w14:textId="54577FCE" w:rsidR="0090272B" w:rsidRPr="006E6AFD" w:rsidRDefault="00B11EC5" w:rsidP="00517B4F">
            <w:pPr>
              <w:pStyle w:val="EYBulletedList1"/>
              <w:numPr>
                <w:ilvl w:val="0"/>
                <w:numId w:val="0"/>
              </w:numPr>
              <w:spacing w:beforeLines="20" w:before="48" w:afterLines="25" w:after="60"/>
              <w:jc w:val="center"/>
              <w:rPr>
                <w:color w:val="000000" w:themeColor="text1"/>
                <w:sz w:val="18"/>
                <w:szCs w:val="18"/>
                <w:lang w:val="pl-PL"/>
              </w:rPr>
            </w:pPr>
            <w:r>
              <w:rPr>
                <w:color w:val="000000" w:themeColor="text1"/>
                <w:sz w:val="18"/>
                <w:szCs w:val="18"/>
                <w:lang w:val="pl-PL"/>
              </w:rPr>
              <w:t>417</w:t>
            </w:r>
          </w:p>
        </w:tc>
      </w:tr>
      <w:tr w:rsidR="00A81AB7" w:rsidRPr="00CE79B8" w14:paraId="38D7FAF8" w14:textId="77777777" w:rsidTr="006E6AFD">
        <w:tc>
          <w:tcPr>
            <w:tcW w:w="1318" w:type="dxa"/>
            <w:shd w:val="clear" w:color="auto" w:fill="auto"/>
            <w:vAlign w:val="center"/>
          </w:tcPr>
          <w:p w14:paraId="21CB2A47" w14:textId="77777777" w:rsidR="00A81AB7" w:rsidRPr="00AF1589" w:rsidRDefault="00A81AB7" w:rsidP="00A81AB7">
            <w:pPr>
              <w:pStyle w:val="EYBulletedList1"/>
              <w:numPr>
                <w:ilvl w:val="0"/>
                <w:numId w:val="0"/>
              </w:numPr>
              <w:spacing w:beforeLines="20" w:before="48" w:afterLines="20" w:after="48"/>
              <w:rPr>
                <w:sz w:val="18"/>
                <w:szCs w:val="18"/>
                <w:lang w:val="pl-PL"/>
              </w:rPr>
            </w:pPr>
            <w:r>
              <w:rPr>
                <w:sz w:val="18"/>
                <w:szCs w:val="18"/>
                <w:lang w:val="pl-PL"/>
              </w:rPr>
              <w:t>Poradnia nefrologiczna</w:t>
            </w:r>
          </w:p>
        </w:tc>
        <w:tc>
          <w:tcPr>
            <w:tcW w:w="3758" w:type="dxa"/>
            <w:shd w:val="clear" w:color="auto" w:fill="auto"/>
          </w:tcPr>
          <w:p w14:paraId="0A2199F2" w14:textId="77777777" w:rsidR="00A81AB7" w:rsidRPr="009B4B30" w:rsidRDefault="00A81AB7" w:rsidP="00F84B72">
            <w:pPr>
              <w:pStyle w:val="EYBulletedList1"/>
              <w:numPr>
                <w:ilvl w:val="0"/>
                <w:numId w:val="11"/>
              </w:numPr>
              <w:spacing w:beforeLines="20" w:before="48" w:afterLines="20" w:after="48"/>
              <w:rPr>
                <w:rFonts w:eastAsia="Calibri"/>
                <w:sz w:val="18"/>
                <w:szCs w:val="18"/>
                <w:lang w:val="pl-PL"/>
              </w:rPr>
            </w:pPr>
            <w:r>
              <w:rPr>
                <w:rFonts w:eastAsia="Calibri"/>
                <w:sz w:val="18"/>
                <w:szCs w:val="18"/>
                <w:lang w:val="pl-PL"/>
              </w:rPr>
              <w:t>Zapewnienie</w:t>
            </w:r>
            <w:r w:rsidRPr="009B4B30">
              <w:rPr>
                <w:rFonts w:eastAsia="Calibri"/>
                <w:sz w:val="18"/>
                <w:szCs w:val="18"/>
                <w:lang w:val="pl-PL"/>
              </w:rPr>
              <w:t xml:space="preserve"> wytworzenia dostępu naczyniowego lub otrzewnowego</w:t>
            </w:r>
          </w:p>
          <w:p w14:paraId="461B9C93" w14:textId="39FC5369" w:rsidR="00A81AB7" w:rsidRPr="00013784" w:rsidRDefault="00DC5BCD" w:rsidP="00F84B72">
            <w:pPr>
              <w:pStyle w:val="EYBulletedList1"/>
              <w:numPr>
                <w:ilvl w:val="0"/>
                <w:numId w:val="11"/>
              </w:numPr>
              <w:spacing w:beforeLines="20" w:before="48" w:afterLines="20" w:after="48"/>
              <w:rPr>
                <w:sz w:val="18"/>
                <w:szCs w:val="18"/>
                <w:lang w:val="pl-PL"/>
              </w:rPr>
            </w:pPr>
            <w:r>
              <w:rPr>
                <w:sz w:val="18"/>
                <w:szCs w:val="18"/>
                <w:lang w:val="pl-PL"/>
              </w:rPr>
              <w:t>Przygotowanie do zgłoszenia</w:t>
            </w:r>
            <w:r w:rsidRPr="00013784">
              <w:rPr>
                <w:sz w:val="18"/>
                <w:szCs w:val="18"/>
                <w:lang w:val="pl-PL"/>
              </w:rPr>
              <w:t xml:space="preserve"> </w:t>
            </w:r>
            <w:r>
              <w:rPr>
                <w:sz w:val="18"/>
                <w:szCs w:val="18"/>
                <w:lang w:val="pl-PL"/>
              </w:rPr>
              <w:t>d</w:t>
            </w:r>
            <w:r w:rsidR="00A81AB7" w:rsidRPr="00013784">
              <w:rPr>
                <w:sz w:val="18"/>
                <w:szCs w:val="18"/>
                <w:lang w:val="pl-PL"/>
              </w:rPr>
              <w:t>o przeszczepienia</w:t>
            </w:r>
          </w:p>
          <w:p w14:paraId="2C528E11" w14:textId="77777777" w:rsidR="00A81AB7" w:rsidRPr="009B4B30" w:rsidRDefault="00A81AB7" w:rsidP="00F84B72">
            <w:pPr>
              <w:pStyle w:val="EYBulletedList1"/>
              <w:numPr>
                <w:ilvl w:val="0"/>
                <w:numId w:val="11"/>
              </w:numPr>
              <w:spacing w:beforeLines="20" w:before="48" w:afterLines="20" w:after="48"/>
              <w:rPr>
                <w:b/>
                <w:sz w:val="18"/>
                <w:szCs w:val="18"/>
                <w:lang w:val="pl-PL"/>
              </w:rPr>
            </w:pPr>
            <w:r w:rsidRPr="009B4B30">
              <w:rPr>
                <w:b/>
                <w:sz w:val="18"/>
                <w:szCs w:val="18"/>
                <w:lang w:val="pl-PL"/>
              </w:rPr>
              <w:t>Koordynowanie opieki</w:t>
            </w:r>
          </w:p>
          <w:p w14:paraId="7620F3C5" w14:textId="77777777" w:rsidR="00A81AB7" w:rsidRPr="009B4B30" w:rsidRDefault="00A81AB7" w:rsidP="00F84B72">
            <w:pPr>
              <w:pStyle w:val="EYBulletedList1"/>
              <w:numPr>
                <w:ilvl w:val="0"/>
                <w:numId w:val="11"/>
              </w:numPr>
              <w:spacing w:beforeLines="20" w:before="48" w:afterLines="20" w:after="48"/>
              <w:rPr>
                <w:sz w:val="18"/>
                <w:szCs w:val="18"/>
                <w:lang w:val="pl-PL"/>
              </w:rPr>
            </w:pPr>
            <w:r w:rsidRPr="009B4B30">
              <w:rPr>
                <w:sz w:val="18"/>
                <w:szCs w:val="18"/>
                <w:lang w:val="pl-PL"/>
              </w:rPr>
              <w:t>Opieka dietetyka</w:t>
            </w:r>
          </w:p>
          <w:p w14:paraId="6934C559" w14:textId="77777777" w:rsidR="00A81AB7" w:rsidRPr="009B4B30" w:rsidRDefault="00A81AB7" w:rsidP="00F84B72">
            <w:pPr>
              <w:pStyle w:val="EYBulletedList1"/>
              <w:numPr>
                <w:ilvl w:val="0"/>
                <w:numId w:val="11"/>
              </w:numPr>
              <w:spacing w:beforeLines="20" w:before="48" w:afterLines="20" w:after="48"/>
              <w:rPr>
                <w:sz w:val="18"/>
                <w:szCs w:val="18"/>
                <w:lang w:val="pl-PL"/>
              </w:rPr>
            </w:pPr>
            <w:r w:rsidRPr="009B4B30">
              <w:rPr>
                <w:sz w:val="18"/>
                <w:szCs w:val="18"/>
                <w:lang w:val="pl-PL"/>
              </w:rPr>
              <w:t>Opieka psychologiczna</w:t>
            </w:r>
          </w:p>
          <w:p w14:paraId="29BB268C" w14:textId="77777777" w:rsidR="00A81AB7" w:rsidRDefault="00A81AB7" w:rsidP="006A636F">
            <w:pPr>
              <w:pStyle w:val="EYBulletedList1"/>
              <w:numPr>
                <w:ilvl w:val="0"/>
                <w:numId w:val="11"/>
              </w:numPr>
              <w:spacing w:beforeLines="20" w:before="48" w:afterLines="20" w:after="48"/>
              <w:rPr>
                <w:sz w:val="18"/>
                <w:szCs w:val="18"/>
                <w:lang w:val="pl-PL"/>
              </w:rPr>
            </w:pPr>
            <w:r w:rsidRPr="009B4B30">
              <w:rPr>
                <w:sz w:val="18"/>
                <w:szCs w:val="18"/>
                <w:lang w:val="pl-PL"/>
              </w:rPr>
              <w:t>Edukacja pacjenta</w:t>
            </w:r>
          </w:p>
          <w:p w14:paraId="2883E00B" w14:textId="0BC28F4C" w:rsidR="00B11EC5" w:rsidRPr="006A636F" w:rsidRDefault="00B11EC5" w:rsidP="006A636F">
            <w:pPr>
              <w:pStyle w:val="EYBulletedList1"/>
              <w:numPr>
                <w:ilvl w:val="0"/>
                <w:numId w:val="11"/>
              </w:numPr>
              <w:spacing w:beforeLines="20" w:before="48" w:afterLines="20" w:after="48"/>
              <w:rPr>
                <w:sz w:val="18"/>
                <w:szCs w:val="18"/>
                <w:lang w:val="pl-PL"/>
              </w:rPr>
            </w:pPr>
            <w:r>
              <w:rPr>
                <w:sz w:val="18"/>
                <w:szCs w:val="18"/>
                <w:lang w:val="pl-PL"/>
              </w:rPr>
              <w:t xml:space="preserve">Opieka </w:t>
            </w:r>
            <w:proofErr w:type="spellStart"/>
            <w:r>
              <w:rPr>
                <w:sz w:val="18"/>
                <w:szCs w:val="18"/>
                <w:lang w:val="pl-PL"/>
              </w:rPr>
              <w:t>fizjoterapuety</w:t>
            </w:r>
            <w:proofErr w:type="spellEnd"/>
          </w:p>
        </w:tc>
        <w:tc>
          <w:tcPr>
            <w:tcW w:w="1728" w:type="dxa"/>
            <w:tcBorders>
              <w:right w:val="single" w:sz="4" w:space="0" w:color="808080" w:themeColor="background1" w:themeShade="80"/>
            </w:tcBorders>
            <w:shd w:val="clear" w:color="auto" w:fill="auto"/>
          </w:tcPr>
          <w:p w14:paraId="600B1F5F" w14:textId="49776EA9" w:rsidR="00A81AB7" w:rsidRPr="006E6AFD" w:rsidRDefault="00B11EC5" w:rsidP="00A81AB7">
            <w:pPr>
              <w:pStyle w:val="EYBulletedList1"/>
              <w:numPr>
                <w:ilvl w:val="0"/>
                <w:numId w:val="0"/>
              </w:numPr>
              <w:spacing w:beforeLines="20" w:before="48" w:afterLines="25" w:after="60"/>
              <w:jc w:val="center"/>
              <w:rPr>
                <w:sz w:val="18"/>
                <w:szCs w:val="18"/>
                <w:lang w:val="pl-PL"/>
              </w:rPr>
            </w:pPr>
            <w:r>
              <w:rPr>
                <w:sz w:val="18"/>
                <w:szCs w:val="18"/>
                <w:lang w:val="pl-PL"/>
              </w:rPr>
              <w:t>3 328</w:t>
            </w:r>
          </w:p>
          <w:p w14:paraId="24AFBA44" w14:textId="77777777" w:rsidR="00B11EC5" w:rsidRDefault="00B11EC5" w:rsidP="00A81AB7">
            <w:pPr>
              <w:pStyle w:val="EYBulletedList1"/>
              <w:numPr>
                <w:ilvl w:val="0"/>
                <w:numId w:val="0"/>
              </w:numPr>
              <w:spacing w:beforeLines="20" w:before="48" w:afterLines="25" w:after="60"/>
              <w:jc w:val="center"/>
              <w:rPr>
                <w:sz w:val="18"/>
                <w:szCs w:val="18"/>
                <w:lang w:val="pl-PL"/>
              </w:rPr>
            </w:pPr>
          </w:p>
          <w:p w14:paraId="25BF7500" w14:textId="77777777" w:rsidR="00A81AB7" w:rsidRPr="006E6AFD" w:rsidRDefault="00D11156" w:rsidP="00A81AB7">
            <w:pPr>
              <w:pStyle w:val="EYBulletedList1"/>
              <w:numPr>
                <w:ilvl w:val="0"/>
                <w:numId w:val="0"/>
              </w:numPr>
              <w:spacing w:beforeLines="20" w:before="48" w:afterLines="25" w:after="60"/>
              <w:jc w:val="center"/>
              <w:rPr>
                <w:sz w:val="18"/>
                <w:szCs w:val="18"/>
                <w:lang w:val="pl-PL"/>
              </w:rPr>
            </w:pPr>
            <w:r w:rsidRPr="006E6AFD">
              <w:rPr>
                <w:sz w:val="18"/>
                <w:szCs w:val="18"/>
                <w:lang w:val="pl-PL"/>
              </w:rPr>
              <w:t>22</w:t>
            </w:r>
            <w:r w:rsidR="00C764A6" w:rsidRPr="006E6AFD">
              <w:rPr>
                <w:sz w:val="18"/>
                <w:szCs w:val="18"/>
                <w:lang w:val="pl-PL"/>
              </w:rPr>
              <w:t>8</w:t>
            </w:r>
          </w:p>
          <w:p w14:paraId="3CF853A5" w14:textId="77777777" w:rsidR="00A81AB7" w:rsidRPr="006E6AFD" w:rsidRDefault="00A81AB7" w:rsidP="00A81AB7">
            <w:pPr>
              <w:pStyle w:val="EYBulletedList1"/>
              <w:numPr>
                <w:ilvl w:val="0"/>
                <w:numId w:val="0"/>
              </w:numPr>
              <w:spacing w:beforeLines="20" w:before="48" w:afterLines="25" w:after="60"/>
              <w:jc w:val="center"/>
              <w:rPr>
                <w:sz w:val="18"/>
                <w:szCs w:val="18"/>
                <w:lang w:val="pl-PL"/>
              </w:rPr>
            </w:pPr>
            <w:r w:rsidRPr="006E6AFD">
              <w:rPr>
                <w:sz w:val="18"/>
                <w:szCs w:val="18"/>
                <w:lang w:val="pl-PL"/>
              </w:rPr>
              <w:t>X</w:t>
            </w:r>
          </w:p>
          <w:p w14:paraId="1DADC832" w14:textId="77777777" w:rsidR="00A81AB7" w:rsidRPr="006E6AFD" w:rsidRDefault="00A81AB7" w:rsidP="00A81AB7">
            <w:pPr>
              <w:pStyle w:val="EYBulletedList1"/>
              <w:numPr>
                <w:ilvl w:val="0"/>
                <w:numId w:val="0"/>
              </w:numPr>
              <w:spacing w:beforeLines="20" w:before="48" w:afterLines="25" w:after="60"/>
              <w:jc w:val="center"/>
              <w:rPr>
                <w:sz w:val="18"/>
                <w:szCs w:val="18"/>
                <w:lang w:val="pl-PL"/>
              </w:rPr>
            </w:pPr>
            <w:r w:rsidRPr="006E6AFD">
              <w:rPr>
                <w:sz w:val="18"/>
                <w:szCs w:val="18"/>
                <w:lang w:val="pl-PL"/>
              </w:rPr>
              <w:t>X</w:t>
            </w:r>
          </w:p>
          <w:p w14:paraId="2EE5E52E" w14:textId="77777777" w:rsidR="00A81AB7" w:rsidRPr="006E6AFD" w:rsidRDefault="00A81AB7" w:rsidP="00A81AB7">
            <w:pPr>
              <w:pStyle w:val="EYBulletedList1"/>
              <w:numPr>
                <w:ilvl w:val="0"/>
                <w:numId w:val="0"/>
              </w:numPr>
              <w:spacing w:beforeLines="20" w:before="48" w:afterLines="25" w:after="60"/>
              <w:jc w:val="center"/>
              <w:rPr>
                <w:sz w:val="18"/>
                <w:szCs w:val="18"/>
                <w:lang w:val="pl-PL"/>
              </w:rPr>
            </w:pPr>
            <w:r w:rsidRPr="006E6AFD">
              <w:rPr>
                <w:sz w:val="18"/>
                <w:szCs w:val="18"/>
                <w:lang w:val="pl-PL"/>
              </w:rPr>
              <w:t>X</w:t>
            </w:r>
          </w:p>
          <w:p w14:paraId="42000032" w14:textId="77777777" w:rsidR="00A81AB7" w:rsidRDefault="00A81AB7" w:rsidP="006A636F">
            <w:pPr>
              <w:pStyle w:val="EYBulletedList1"/>
              <w:numPr>
                <w:ilvl w:val="0"/>
                <w:numId w:val="0"/>
              </w:numPr>
              <w:spacing w:beforeLines="20" w:before="48" w:afterLines="25" w:after="60"/>
              <w:jc w:val="center"/>
              <w:rPr>
                <w:sz w:val="18"/>
                <w:szCs w:val="18"/>
                <w:lang w:val="pl-PL"/>
              </w:rPr>
            </w:pPr>
            <w:r w:rsidRPr="006E6AFD">
              <w:rPr>
                <w:sz w:val="18"/>
                <w:szCs w:val="18"/>
                <w:lang w:val="pl-PL"/>
              </w:rPr>
              <w:t>X</w:t>
            </w:r>
          </w:p>
          <w:p w14:paraId="4495E655" w14:textId="151450BD" w:rsidR="00B11EC5" w:rsidRPr="006E6AFD" w:rsidRDefault="00B11EC5" w:rsidP="006A636F">
            <w:pPr>
              <w:pStyle w:val="EYBulletedList1"/>
              <w:numPr>
                <w:ilvl w:val="0"/>
                <w:numId w:val="0"/>
              </w:numPr>
              <w:spacing w:beforeLines="20" w:before="48" w:afterLines="25" w:after="60"/>
              <w:jc w:val="center"/>
              <w:rPr>
                <w:sz w:val="18"/>
                <w:szCs w:val="18"/>
                <w:lang w:val="pl-PL"/>
              </w:rPr>
            </w:pPr>
            <w:r>
              <w:rPr>
                <w:sz w:val="18"/>
                <w:szCs w:val="18"/>
                <w:lang w:val="pl-PL"/>
              </w:rPr>
              <w:t>X</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C6DB07" w14:textId="71464A61" w:rsidR="00C764A6" w:rsidRPr="006E6AFD" w:rsidRDefault="00B11EC5" w:rsidP="00BE14BA">
            <w:pPr>
              <w:pStyle w:val="EYBulletedList1"/>
              <w:numPr>
                <w:ilvl w:val="0"/>
                <w:numId w:val="0"/>
              </w:numPr>
              <w:spacing w:beforeLines="20" w:before="48" w:afterLines="25" w:after="60"/>
              <w:jc w:val="center"/>
              <w:rPr>
                <w:color w:val="00B050"/>
                <w:sz w:val="18"/>
                <w:szCs w:val="18"/>
                <w:lang w:val="pl-PL"/>
              </w:rPr>
            </w:pPr>
            <w:r>
              <w:rPr>
                <w:sz w:val="18"/>
                <w:szCs w:val="18"/>
                <w:lang w:val="pl-PL"/>
              </w:rPr>
              <w:t>3 328</w:t>
            </w:r>
          </w:p>
          <w:p w14:paraId="04897E33" w14:textId="77777777" w:rsidR="00B11EC5" w:rsidRDefault="00B11EC5" w:rsidP="00517B4F">
            <w:pPr>
              <w:pStyle w:val="EYBulletedList1"/>
              <w:numPr>
                <w:ilvl w:val="0"/>
                <w:numId w:val="0"/>
              </w:numPr>
              <w:spacing w:beforeLines="20" w:before="48" w:afterLines="25" w:after="60"/>
              <w:jc w:val="center"/>
              <w:rPr>
                <w:color w:val="000000" w:themeColor="text1"/>
                <w:sz w:val="18"/>
                <w:szCs w:val="18"/>
                <w:lang w:val="pl-PL"/>
              </w:rPr>
            </w:pPr>
          </w:p>
          <w:p w14:paraId="47CD886A" w14:textId="77777777" w:rsidR="00517B4F" w:rsidRPr="006E6AFD" w:rsidRDefault="00D11156" w:rsidP="00517B4F">
            <w:pPr>
              <w:pStyle w:val="EYBulletedList1"/>
              <w:numPr>
                <w:ilvl w:val="0"/>
                <w:numId w:val="0"/>
              </w:numPr>
              <w:spacing w:beforeLines="20" w:before="48" w:afterLines="25" w:after="60"/>
              <w:jc w:val="center"/>
              <w:rPr>
                <w:color w:val="00B050"/>
                <w:sz w:val="18"/>
                <w:szCs w:val="18"/>
                <w:lang w:val="pl-PL"/>
              </w:rPr>
            </w:pPr>
            <w:r w:rsidRPr="006E6AFD">
              <w:rPr>
                <w:color w:val="000000" w:themeColor="text1"/>
                <w:sz w:val="18"/>
                <w:szCs w:val="18"/>
                <w:lang w:val="pl-PL"/>
              </w:rPr>
              <w:t>22</w:t>
            </w:r>
            <w:r w:rsidR="00C764A6" w:rsidRPr="006E6AFD">
              <w:rPr>
                <w:color w:val="000000" w:themeColor="text1"/>
                <w:sz w:val="18"/>
                <w:szCs w:val="18"/>
                <w:lang w:val="pl-PL"/>
              </w:rPr>
              <w:t>8</w:t>
            </w:r>
          </w:p>
          <w:p w14:paraId="32F7216D" w14:textId="77777777" w:rsidR="00A81AB7" w:rsidRPr="006E6AFD" w:rsidRDefault="00C764A6" w:rsidP="00A81AB7">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150</w:t>
            </w:r>
          </w:p>
          <w:p w14:paraId="4DCA210C" w14:textId="77777777" w:rsidR="00A81AB7" w:rsidRPr="006E6AFD" w:rsidRDefault="00C764A6" w:rsidP="00A81AB7">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360</w:t>
            </w:r>
          </w:p>
          <w:p w14:paraId="5E62AA04" w14:textId="77777777" w:rsidR="00A81AB7" w:rsidRPr="006E6AFD" w:rsidRDefault="00C764A6" w:rsidP="00A81AB7">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486</w:t>
            </w:r>
          </w:p>
          <w:p w14:paraId="65AA00DA" w14:textId="77777777" w:rsidR="00A81AB7" w:rsidRDefault="00C764A6" w:rsidP="00517B4F">
            <w:pPr>
              <w:pStyle w:val="EYBulletedList1"/>
              <w:numPr>
                <w:ilvl w:val="0"/>
                <w:numId w:val="0"/>
              </w:numPr>
              <w:spacing w:beforeLines="20" w:before="48" w:afterLines="25" w:after="60"/>
              <w:jc w:val="center"/>
              <w:rPr>
                <w:color w:val="000000" w:themeColor="text1"/>
                <w:sz w:val="18"/>
                <w:szCs w:val="18"/>
                <w:lang w:val="pl-PL"/>
              </w:rPr>
            </w:pPr>
            <w:r w:rsidRPr="006E6AFD">
              <w:rPr>
                <w:color w:val="000000" w:themeColor="text1"/>
                <w:sz w:val="18"/>
                <w:szCs w:val="18"/>
                <w:lang w:val="pl-PL"/>
              </w:rPr>
              <w:t>372</w:t>
            </w:r>
          </w:p>
          <w:p w14:paraId="0A21416F" w14:textId="45EF8D47" w:rsidR="00B11EC5" w:rsidRPr="006E6AFD" w:rsidRDefault="00B11EC5" w:rsidP="00517B4F">
            <w:pPr>
              <w:pStyle w:val="EYBulletedList1"/>
              <w:numPr>
                <w:ilvl w:val="0"/>
                <w:numId w:val="0"/>
              </w:numPr>
              <w:spacing w:beforeLines="20" w:before="48" w:afterLines="25" w:after="60"/>
              <w:jc w:val="center"/>
              <w:rPr>
                <w:color w:val="00B050"/>
                <w:sz w:val="18"/>
                <w:szCs w:val="18"/>
                <w:lang w:val="pl-PL"/>
              </w:rPr>
            </w:pPr>
            <w:r>
              <w:rPr>
                <w:color w:val="000000" w:themeColor="text1"/>
                <w:sz w:val="18"/>
                <w:szCs w:val="18"/>
                <w:lang w:val="pl-PL"/>
              </w:rPr>
              <w:t>352</w:t>
            </w:r>
          </w:p>
        </w:tc>
      </w:tr>
      <w:tr w:rsidR="00517B4F" w:rsidRPr="00CE79B8" w14:paraId="5F74C082" w14:textId="77777777" w:rsidTr="006E6AFD">
        <w:tc>
          <w:tcPr>
            <w:tcW w:w="1318" w:type="dxa"/>
            <w:tcBorders>
              <w:bottom w:val="nil"/>
            </w:tcBorders>
            <w:shd w:val="clear" w:color="auto" w:fill="auto"/>
            <w:vAlign w:val="center"/>
          </w:tcPr>
          <w:p w14:paraId="50C3C60C" w14:textId="77777777" w:rsidR="00517B4F" w:rsidRDefault="00517B4F" w:rsidP="00A81AB7">
            <w:pPr>
              <w:pStyle w:val="EYBulletedList1"/>
              <w:numPr>
                <w:ilvl w:val="0"/>
                <w:numId w:val="0"/>
              </w:numPr>
              <w:spacing w:beforeLines="20" w:before="48" w:afterLines="20" w:after="48"/>
              <w:rPr>
                <w:sz w:val="18"/>
                <w:szCs w:val="18"/>
                <w:lang w:val="pl-PL"/>
              </w:rPr>
            </w:pPr>
          </w:p>
        </w:tc>
        <w:tc>
          <w:tcPr>
            <w:tcW w:w="3758" w:type="dxa"/>
            <w:tcBorders>
              <w:bottom w:val="nil"/>
            </w:tcBorders>
            <w:shd w:val="clear" w:color="auto" w:fill="auto"/>
          </w:tcPr>
          <w:p w14:paraId="01919EEB" w14:textId="77777777" w:rsidR="00517B4F" w:rsidRPr="00517B4F" w:rsidRDefault="00517B4F" w:rsidP="00517B4F">
            <w:pPr>
              <w:pStyle w:val="EYBulletedList1"/>
              <w:numPr>
                <w:ilvl w:val="0"/>
                <w:numId w:val="0"/>
              </w:numPr>
              <w:spacing w:beforeLines="20" w:before="48" w:afterLines="20" w:after="48"/>
              <w:rPr>
                <w:b/>
                <w:sz w:val="18"/>
                <w:szCs w:val="18"/>
                <w:lang w:val="pl-PL"/>
              </w:rPr>
            </w:pPr>
            <w:r w:rsidRPr="00517B4F">
              <w:rPr>
                <w:b/>
                <w:sz w:val="18"/>
                <w:szCs w:val="18"/>
                <w:lang w:val="pl-PL"/>
              </w:rPr>
              <w:t>Koszt całkowity przy dializie otrzewnowej</w:t>
            </w:r>
          </w:p>
          <w:p w14:paraId="4A8A47B5" w14:textId="77777777" w:rsidR="00517B4F" w:rsidRPr="00517B4F" w:rsidRDefault="00517B4F" w:rsidP="00517B4F">
            <w:pPr>
              <w:pStyle w:val="EYBulletedList1"/>
              <w:numPr>
                <w:ilvl w:val="0"/>
                <w:numId w:val="0"/>
              </w:numPr>
              <w:spacing w:beforeLines="20" w:before="48" w:afterLines="20" w:after="48"/>
              <w:rPr>
                <w:b/>
                <w:sz w:val="18"/>
                <w:szCs w:val="18"/>
                <w:lang w:val="pl-PL"/>
              </w:rPr>
            </w:pPr>
            <w:r w:rsidRPr="00517B4F">
              <w:rPr>
                <w:b/>
                <w:sz w:val="18"/>
                <w:szCs w:val="18"/>
                <w:lang w:val="pl-PL"/>
              </w:rPr>
              <w:t>Koszt całkowity przy hemodializie</w:t>
            </w:r>
          </w:p>
          <w:p w14:paraId="35EDB649" w14:textId="77777777" w:rsidR="00517B4F" w:rsidRPr="009B4B30" w:rsidRDefault="00517B4F" w:rsidP="00517B4F">
            <w:pPr>
              <w:pStyle w:val="EYBulletedList1"/>
              <w:numPr>
                <w:ilvl w:val="0"/>
                <w:numId w:val="0"/>
              </w:numPr>
              <w:spacing w:beforeLines="20" w:before="48" w:afterLines="20" w:after="48"/>
              <w:rPr>
                <w:sz w:val="18"/>
                <w:szCs w:val="18"/>
                <w:lang w:val="pl-PL"/>
              </w:rPr>
            </w:pPr>
            <w:r w:rsidRPr="00517B4F">
              <w:rPr>
                <w:b/>
                <w:sz w:val="18"/>
                <w:szCs w:val="18"/>
                <w:lang w:val="pl-PL"/>
              </w:rPr>
              <w:t xml:space="preserve">Koszt całkowity przy </w:t>
            </w:r>
            <w:proofErr w:type="spellStart"/>
            <w:r w:rsidRPr="00517B4F">
              <w:rPr>
                <w:b/>
                <w:sz w:val="18"/>
                <w:szCs w:val="18"/>
                <w:lang w:val="pl-PL"/>
              </w:rPr>
              <w:t>hemodiafiltracji</w:t>
            </w:r>
            <w:proofErr w:type="spellEnd"/>
          </w:p>
        </w:tc>
        <w:tc>
          <w:tcPr>
            <w:tcW w:w="1728" w:type="dxa"/>
            <w:tcBorders>
              <w:bottom w:val="nil"/>
              <w:right w:val="single" w:sz="4" w:space="0" w:color="808080" w:themeColor="background1" w:themeShade="80"/>
            </w:tcBorders>
            <w:shd w:val="clear" w:color="auto" w:fill="auto"/>
          </w:tcPr>
          <w:p w14:paraId="7B76D10D" w14:textId="02EFF5F0" w:rsidR="00517B4F" w:rsidRPr="006A636F" w:rsidRDefault="00D11156" w:rsidP="00A81AB7">
            <w:pPr>
              <w:pStyle w:val="EYBulletedList1"/>
              <w:numPr>
                <w:ilvl w:val="0"/>
                <w:numId w:val="0"/>
              </w:numPr>
              <w:spacing w:beforeLines="20" w:before="48" w:afterLines="25" w:after="60"/>
              <w:jc w:val="center"/>
              <w:rPr>
                <w:b/>
                <w:color w:val="000000" w:themeColor="text1"/>
                <w:sz w:val="18"/>
                <w:szCs w:val="18"/>
                <w:lang w:val="pl-PL"/>
              </w:rPr>
            </w:pPr>
            <w:r w:rsidRPr="006A636F">
              <w:rPr>
                <w:b/>
                <w:color w:val="000000" w:themeColor="text1"/>
                <w:sz w:val="18"/>
                <w:szCs w:val="18"/>
                <w:lang w:val="pl-PL"/>
              </w:rPr>
              <w:t>7</w:t>
            </w:r>
            <w:r w:rsidR="00CA0341">
              <w:rPr>
                <w:b/>
                <w:color w:val="000000" w:themeColor="text1"/>
                <w:sz w:val="18"/>
                <w:szCs w:val="18"/>
                <w:lang w:val="pl-PL"/>
              </w:rPr>
              <w:t>9 060</w:t>
            </w:r>
          </w:p>
          <w:p w14:paraId="183EEB51" w14:textId="56C254D5" w:rsidR="0090272B" w:rsidRPr="006A636F" w:rsidRDefault="00C764A6" w:rsidP="00A81AB7">
            <w:pPr>
              <w:pStyle w:val="EYBulletedList1"/>
              <w:numPr>
                <w:ilvl w:val="0"/>
                <w:numId w:val="0"/>
              </w:numPr>
              <w:spacing w:beforeLines="20" w:before="48" w:afterLines="25" w:after="60"/>
              <w:jc w:val="center"/>
              <w:rPr>
                <w:b/>
                <w:color w:val="000000" w:themeColor="text1"/>
                <w:sz w:val="18"/>
                <w:szCs w:val="18"/>
                <w:lang w:val="pl-PL"/>
              </w:rPr>
            </w:pPr>
            <w:r w:rsidRPr="006A636F">
              <w:rPr>
                <w:b/>
                <w:color w:val="000000" w:themeColor="text1"/>
                <w:sz w:val="18"/>
                <w:szCs w:val="18"/>
                <w:lang w:val="pl-PL"/>
              </w:rPr>
              <w:t>6</w:t>
            </w:r>
            <w:r w:rsidR="00B11EC5">
              <w:rPr>
                <w:b/>
                <w:color w:val="000000" w:themeColor="text1"/>
                <w:sz w:val="18"/>
                <w:szCs w:val="18"/>
                <w:lang w:val="pl-PL"/>
              </w:rPr>
              <w:t>8</w:t>
            </w:r>
            <w:r w:rsidR="00CA0341">
              <w:rPr>
                <w:b/>
                <w:color w:val="000000" w:themeColor="text1"/>
                <w:sz w:val="18"/>
                <w:szCs w:val="18"/>
                <w:lang w:val="pl-PL"/>
              </w:rPr>
              <w:t> 148</w:t>
            </w:r>
          </w:p>
          <w:p w14:paraId="40D64530" w14:textId="77777777" w:rsidR="0090272B" w:rsidRPr="006A636F" w:rsidRDefault="00C764A6" w:rsidP="00E452F8">
            <w:pPr>
              <w:pStyle w:val="EYBulletedList1"/>
              <w:numPr>
                <w:ilvl w:val="0"/>
                <w:numId w:val="0"/>
              </w:numPr>
              <w:spacing w:beforeLines="20" w:before="48" w:afterLines="25" w:after="60"/>
              <w:jc w:val="center"/>
              <w:rPr>
                <w:b/>
                <w:color w:val="000000" w:themeColor="text1"/>
                <w:sz w:val="18"/>
                <w:szCs w:val="18"/>
                <w:lang w:val="pl-PL"/>
              </w:rPr>
            </w:pPr>
            <w:r w:rsidRPr="006A636F">
              <w:rPr>
                <w:b/>
                <w:color w:val="000000" w:themeColor="text1"/>
                <w:sz w:val="18"/>
                <w:szCs w:val="18"/>
                <w:lang w:val="pl-PL"/>
              </w:rPr>
              <w:t>x</w:t>
            </w:r>
          </w:p>
        </w:tc>
        <w:tc>
          <w:tcPr>
            <w:tcW w:w="1843" w:type="dxa"/>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F2F2F2" w:themeFill="background1" w:themeFillShade="F2"/>
          </w:tcPr>
          <w:p w14:paraId="77291634" w14:textId="72B0D1AE" w:rsidR="00517B4F" w:rsidRPr="006A636F" w:rsidRDefault="00B11EC5" w:rsidP="00A81AB7">
            <w:pPr>
              <w:pStyle w:val="EYBulletedList1"/>
              <w:numPr>
                <w:ilvl w:val="0"/>
                <w:numId w:val="0"/>
              </w:numPr>
              <w:spacing w:beforeLines="20" w:before="48" w:afterLines="25" w:after="60"/>
              <w:jc w:val="center"/>
              <w:rPr>
                <w:b/>
                <w:color w:val="000000" w:themeColor="text1"/>
                <w:sz w:val="18"/>
                <w:szCs w:val="18"/>
                <w:lang w:val="pl-PL"/>
              </w:rPr>
            </w:pPr>
            <w:r>
              <w:rPr>
                <w:b/>
                <w:color w:val="000000" w:themeColor="text1"/>
                <w:sz w:val="18"/>
                <w:szCs w:val="18"/>
                <w:lang w:val="pl-PL"/>
              </w:rPr>
              <w:t>82</w:t>
            </w:r>
            <w:r w:rsidR="00F222E4" w:rsidRPr="006A636F">
              <w:rPr>
                <w:b/>
                <w:color w:val="000000" w:themeColor="text1"/>
                <w:sz w:val="18"/>
                <w:szCs w:val="18"/>
                <w:lang w:val="pl-PL"/>
              </w:rPr>
              <w:t xml:space="preserve"> </w:t>
            </w:r>
            <w:r>
              <w:rPr>
                <w:b/>
                <w:color w:val="000000" w:themeColor="text1"/>
                <w:sz w:val="18"/>
                <w:szCs w:val="18"/>
                <w:lang w:val="pl-PL"/>
              </w:rPr>
              <w:t>616</w:t>
            </w:r>
          </w:p>
          <w:p w14:paraId="7E45CBF0" w14:textId="535C3CF9" w:rsidR="0090272B" w:rsidRPr="006A636F" w:rsidRDefault="00B11EC5" w:rsidP="00A81AB7">
            <w:pPr>
              <w:pStyle w:val="EYBulletedList1"/>
              <w:numPr>
                <w:ilvl w:val="0"/>
                <w:numId w:val="0"/>
              </w:numPr>
              <w:spacing w:beforeLines="20" w:before="48" w:afterLines="25" w:after="60"/>
              <w:jc w:val="center"/>
              <w:rPr>
                <w:b/>
                <w:color w:val="000000" w:themeColor="text1"/>
                <w:sz w:val="18"/>
                <w:szCs w:val="18"/>
                <w:lang w:val="pl-PL"/>
              </w:rPr>
            </w:pPr>
            <w:r>
              <w:rPr>
                <w:b/>
                <w:color w:val="000000" w:themeColor="text1"/>
                <w:sz w:val="18"/>
                <w:szCs w:val="18"/>
                <w:lang w:val="pl-PL"/>
              </w:rPr>
              <w:t>71 704</w:t>
            </w:r>
          </w:p>
          <w:p w14:paraId="56ADAA8D" w14:textId="3DD47853" w:rsidR="0090272B" w:rsidRPr="006A636F" w:rsidRDefault="00B11EC5" w:rsidP="00A81AB7">
            <w:pPr>
              <w:pStyle w:val="EYBulletedList1"/>
              <w:numPr>
                <w:ilvl w:val="0"/>
                <w:numId w:val="0"/>
              </w:numPr>
              <w:spacing w:beforeLines="20" w:before="48" w:afterLines="25" w:after="60"/>
              <w:jc w:val="center"/>
              <w:rPr>
                <w:b/>
                <w:color w:val="000000" w:themeColor="text1"/>
                <w:sz w:val="18"/>
                <w:szCs w:val="18"/>
                <w:lang w:val="pl-PL"/>
              </w:rPr>
            </w:pPr>
            <w:r>
              <w:rPr>
                <w:b/>
                <w:color w:val="000000" w:themeColor="text1"/>
                <w:sz w:val="18"/>
                <w:szCs w:val="18"/>
                <w:lang w:val="pl-PL"/>
              </w:rPr>
              <w:t>87 226</w:t>
            </w:r>
          </w:p>
        </w:tc>
      </w:tr>
    </w:tbl>
    <w:p w14:paraId="1D0A1A8A" w14:textId="77777777" w:rsidR="00FB74AE" w:rsidRDefault="00FB74AE" w:rsidP="00FB74AE">
      <w:pPr>
        <w:rPr>
          <w:rFonts w:eastAsia="Calibri"/>
          <w:sz w:val="18"/>
          <w:lang w:val="pl-PL"/>
        </w:rPr>
      </w:pPr>
      <w:r w:rsidRPr="00060165">
        <w:rPr>
          <w:rFonts w:eastAsia="Calibri"/>
          <w:sz w:val="18"/>
          <w:lang w:val="pl-PL"/>
        </w:rPr>
        <w:t>Źródło: Opracowanie własne EY</w:t>
      </w:r>
    </w:p>
    <w:p w14:paraId="60A03B1A" w14:textId="74280E30" w:rsidR="0039153F" w:rsidRPr="00835025" w:rsidRDefault="0039153F" w:rsidP="0065540F">
      <w:pPr>
        <w:rPr>
          <w:rFonts w:eastAsia="Calibri"/>
          <w:sz w:val="18"/>
          <w:lang w:val="pl-PL"/>
        </w:rPr>
      </w:pPr>
      <w:r w:rsidRPr="0065540F">
        <w:rPr>
          <w:rFonts w:eastAsia="Calibri"/>
          <w:sz w:val="18"/>
          <w:lang w:val="pl-PL"/>
        </w:rPr>
        <w:t>*</w:t>
      </w:r>
      <w:r>
        <w:rPr>
          <w:rFonts w:eastAsia="Calibri"/>
          <w:sz w:val="18"/>
          <w:lang w:val="pl-PL"/>
        </w:rPr>
        <w:t xml:space="preserve"> </w:t>
      </w:r>
      <w:r w:rsidRPr="00835025">
        <w:rPr>
          <w:rFonts w:eastAsia="Calibri"/>
          <w:sz w:val="18"/>
          <w:lang w:val="pl-PL"/>
        </w:rPr>
        <w:t>Moduł A – obejmuje dodatkowe porady n</w:t>
      </w:r>
      <w:r w:rsidRPr="0065540F">
        <w:rPr>
          <w:rFonts w:eastAsia="Calibri"/>
          <w:sz w:val="18"/>
          <w:lang w:val="pl-PL"/>
        </w:rPr>
        <w:t>efrologiczne raz na dwa tygodni</w:t>
      </w:r>
      <w:r w:rsidRPr="00835025">
        <w:rPr>
          <w:rFonts w:eastAsia="Calibri"/>
          <w:sz w:val="18"/>
          <w:lang w:val="pl-PL"/>
        </w:rPr>
        <w:t>e</w:t>
      </w:r>
    </w:p>
    <w:p w14:paraId="27A8D569" w14:textId="77777777" w:rsidR="007E4188" w:rsidRDefault="00587D55" w:rsidP="006311BE">
      <w:pPr>
        <w:rPr>
          <w:rFonts w:eastAsia="Calibri"/>
          <w:lang w:val="pl-PL"/>
        </w:rPr>
      </w:pPr>
      <w:r>
        <w:rPr>
          <w:rFonts w:eastAsia="Calibri"/>
          <w:lang w:val="pl-PL"/>
        </w:rPr>
        <w:t xml:space="preserve">Wprowadzenie koordynacji opieki może umożliwić osiągnięcie lepszych parametrów leczenia. </w:t>
      </w:r>
      <w:r w:rsidR="00761080">
        <w:rPr>
          <w:rFonts w:eastAsia="Calibri"/>
          <w:lang w:val="pl-PL"/>
        </w:rPr>
        <w:t>Przekazanie odpowiedzialności za wyniki leczenia jednemu podmiotowi może zaowocować m.in. mniejszą ilością powikłań dostępów i mniejszą liczbą interwencji</w:t>
      </w:r>
      <w:r w:rsidR="00262E3A">
        <w:rPr>
          <w:rFonts w:eastAsia="Calibri"/>
          <w:lang w:val="pl-PL"/>
        </w:rPr>
        <w:t xml:space="preserve"> szpitalnych</w:t>
      </w:r>
      <w:r w:rsidR="00761080">
        <w:rPr>
          <w:rFonts w:eastAsia="Calibri"/>
          <w:lang w:val="pl-PL"/>
        </w:rPr>
        <w:t xml:space="preserve">. Koszty z tego tytułu będą niższe, a komfort i zadowolenie pacjentów większe. </w:t>
      </w:r>
    </w:p>
    <w:p w14:paraId="130FD63E" w14:textId="77777777" w:rsidR="00D272B8" w:rsidRPr="004E62AC" w:rsidRDefault="00D272B8" w:rsidP="002A2DDD">
      <w:pPr>
        <w:pStyle w:val="EYHeading2"/>
        <w:rPr>
          <w:rFonts w:eastAsia="Calibri"/>
          <w:color w:val="000000" w:themeColor="text1"/>
          <w:lang w:val="pl-PL"/>
        </w:rPr>
      </w:pPr>
      <w:bookmarkStart w:id="333" w:name="_Toc477550159"/>
      <w:bookmarkStart w:id="334" w:name="_Toc477551080"/>
      <w:bookmarkStart w:id="335" w:name="_Toc477551240"/>
      <w:bookmarkStart w:id="336" w:name="_Toc477551378"/>
      <w:bookmarkStart w:id="337" w:name="_Toc477551515"/>
      <w:bookmarkStart w:id="338" w:name="_Toc477553535"/>
      <w:bookmarkStart w:id="339" w:name="_Toc477869025"/>
      <w:bookmarkStart w:id="340" w:name="_Toc477900974"/>
      <w:bookmarkStart w:id="341" w:name="_Toc477950247"/>
      <w:bookmarkStart w:id="342" w:name="_Toc477951227"/>
      <w:bookmarkStart w:id="343" w:name="_Toc477951365"/>
      <w:bookmarkStart w:id="344" w:name="_Toc477951503"/>
      <w:bookmarkStart w:id="345" w:name="_Toc477550160"/>
      <w:bookmarkStart w:id="346" w:name="_Toc477551081"/>
      <w:bookmarkStart w:id="347" w:name="_Toc477551241"/>
      <w:bookmarkStart w:id="348" w:name="_Toc477551379"/>
      <w:bookmarkStart w:id="349" w:name="_Toc477551516"/>
      <w:bookmarkStart w:id="350" w:name="_Toc477553536"/>
      <w:bookmarkStart w:id="351" w:name="_Toc477869026"/>
      <w:bookmarkStart w:id="352" w:name="_Toc477900975"/>
      <w:bookmarkStart w:id="353" w:name="_Toc477950248"/>
      <w:bookmarkStart w:id="354" w:name="_Toc477951228"/>
      <w:bookmarkStart w:id="355" w:name="_Toc477951366"/>
      <w:bookmarkStart w:id="356" w:name="_Toc477951504"/>
      <w:bookmarkStart w:id="357" w:name="_Toc477550163"/>
      <w:bookmarkStart w:id="358" w:name="_Toc477551084"/>
      <w:bookmarkStart w:id="359" w:name="_Toc477551244"/>
      <w:bookmarkStart w:id="360" w:name="_Toc477551382"/>
      <w:bookmarkStart w:id="361" w:name="_Toc477551519"/>
      <w:bookmarkStart w:id="362" w:name="_Toc477553539"/>
      <w:bookmarkStart w:id="363" w:name="_Toc477869029"/>
      <w:bookmarkStart w:id="364" w:name="_Toc477900978"/>
      <w:bookmarkStart w:id="365" w:name="_Toc477950251"/>
      <w:bookmarkStart w:id="366" w:name="_Toc477951231"/>
      <w:bookmarkStart w:id="367" w:name="_Toc477951369"/>
      <w:bookmarkStart w:id="368" w:name="_Toc477951507"/>
      <w:bookmarkStart w:id="369" w:name="_Toc477550167"/>
      <w:bookmarkStart w:id="370" w:name="_Toc477551088"/>
      <w:bookmarkStart w:id="371" w:name="_Toc477551248"/>
      <w:bookmarkStart w:id="372" w:name="_Toc477551386"/>
      <w:bookmarkStart w:id="373" w:name="_Toc477551523"/>
      <w:bookmarkStart w:id="374" w:name="_Toc477553543"/>
      <w:bookmarkStart w:id="375" w:name="_Toc477869033"/>
      <w:bookmarkStart w:id="376" w:name="_Toc477900982"/>
      <w:bookmarkStart w:id="377" w:name="_Toc477950255"/>
      <w:bookmarkStart w:id="378" w:name="_Toc477951235"/>
      <w:bookmarkStart w:id="379" w:name="_Toc477951373"/>
      <w:bookmarkStart w:id="380" w:name="_Toc477951511"/>
      <w:bookmarkStart w:id="381" w:name="_Toc477550168"/>
      <w:bookmarkStart w:id="382" w:name="_Toc477551089"/>
      <w:bookmarkStart w:id="383" w:name="_Toc477551249"/>
      <w:bookmarkStart w:id="384" w:name="_Toc477551387"/>
      <w:bookmarkStart w:id="385" w:name="_Toc477551524"/>
      <w:bookmarkStart w:id="386" w:name="_Toc477553544"/>
      <w:bookmarkStart w:id="387" w:name="_Toc477869034"/>
      <w:bookmarkStart w:id="388" w:name="_Toc477900983"/>
      <w:bookmarkStart w:id="389" w:name="_Toc477950256"/>
      <w:bookmarkStart w:id="390" w:name="_Toc477951236"/>
      <w:bookmarkStart w:id="391" w:name="_Toc477951374"/>
      <w:bookmarkStart w:id="392" w:name="_Toc477951512"/>
      <w:bookmarkStart w:id="393" w:name="_Toc477550169"/>
      <w:bookmarkStart w:id="394" w:name="_Toc477551090"/>
      <w:bookmarkStart w:id="395" w:name="_Toc477551250"/>
      <w:bookmarkStart w:id="396" w:name="_Toc477551388"/>
      <w:bookmarkStart w:id="397" w:name="_Toc477551525"/>
      <w:bookmarkStart w:id="398" w:name="_Toc477553545"/>
      <w:bookmarkStart w:id="399" w:name="_Toc477869035"/>
      <w:bookmarkStart w:id="400" w:name="_Toc477900984"/>
      <w:bookmarkStart w:id="401" w:name="_Toc477950257"/>
      <w:bookmarkStart w:id="402" w:name="_Toc477951237"/>
      <w:bookmarkStart w:id="403" w:name="_Toc477951375"/>
      <w:bookmarkStart w:id="404" w:name="_Toc477951513"/>
      <w:bookmarkStart w:id="405" w:name="_Toc477550171"/>
      <w:bookmarkStart w:id="406" w:name="_Toc477551092"/>
      <w:bookmarkStart w:id="407" w:name="_Toc477551252"/>
      <w:bookmarkStart w:id="408" w:name="_Toc477551390"/>
      <w:bookmarkStart w:id="409" w:name="_Toc477551527"/>
      <w:bookmarkStart w:id="410" w:name="_Toc477553547"/>
      <w:bookmarkStart w:id="411" w:name="_Toc477869037"/>
      <w:bookmarkStart w:id="412" w:name="_Toc477900986"/>
      <w:bookmarkStart w:id="413" w:name="_Toc477950259"/>
      <w:bookmarkStart w:id="414" w:name="_Toc477951239"/>
      <w:bookmarkStart w:id="415" w:name="_Toc477951377"/>
      <w:bookmarkStart w:id="416" w:name="_Toc477951515"/>
      <w:bookmarkStart w:id="417" w:name="_Toc477550173"/>
      <w:bookmarkStart w:id="418" w:name="_Toc477551094"/>
      <w:bookmarkStart w:id="419" w:name="_Toc477551254"/>
      <w:bookmarkStart w:id="420" w:name="_Toc477551392"/>
      <w:bookmarkStart w:id="421" w:name="_Toc477551529"/>
      <w:bookmarkStart w:id="422" w:name="_Toc477553549"/>
      <w:bookmarkStart w:id="423" w:name="_Toc477869039"/>
      <w:bookmarkStart w:id="424" w:name="_Toc477900988"/>
      <w:bookmarkStart w:id="425" w:name="_Toc477950261"/>
      <w:bookmarkStart w:id="426" w:name="_Toc477951241"/>
      <w:bookmarkStart w:id="427" w:name="_Toc477951379"/>
      <w:bookmarkStart w:id="428" w:name="_Toc477951517"/>
      <w:bookmarkStart w:id="429" w:name="_Toc477550174"/>
      <w:bookmarkStart w:id="430" w:name="_Toc477551095"/>
      <w:bookmarkStart w:id="431" w:name="_Toc477551255"/>
      <w:bookmarkStart w:id="432" w:name="_Toc477551393"/>
      <w:bookmarkStart w:id="433" w:name="_Toc477551530"/>
      <w:bookmarkStart w:id="434" w:name="_Toc477553550"/>
      <w:bookmarkStart w:id="435" w:name="_Toc477869040"/>
      <w:bookmarkStart w:id="436" w:name="_Toc477900989"/>
      <w:bookmarkStart w:id="437" w:name="_Toc477950262"/>
      <w:bookmarkStart w:id="438" w:name="_Toc477951242"/>
      <w:bookmarkStart w:id="439" w:name="_Toc477951380"/>
      <w:bookmarkStart w:id="440" w:name="_Toc477951518"/>
      <w:bookmarkStart w:id="441" w:name="_Toc477550175"/>
      <w:bookmarkStart w:id="442" w:name="_Toc477551096"/>
      <w:bookmarkStart w:id="443" w:name="_Toc477551256"/>
      <w:bookmarkStart w:id="444" w:name="_Toc477551394"/>
      <w:bookmarkStart w:id="445" w:name="_Toc477551531"/>
      <w:bookmarkStart w:id="446" w:name="_Toc477553551"/>
      <w:bookmarkStart w:id="447" w:name="_Toc477869041"/>
      <w:bookmarkStart w:id="448" w:name="_Toc477900990"/>
      <w:bookmarkStart w:id="449" w:name="_Toc477950263"/>
      <w:bookmarkStart w:id="450" w:name="_Toc477951243"/>
      <w:bookmarkStart w:id="451" w:name="_Toc477951381"/>
      <w:bookmarkStart w:id="452" w:name="_Toc477951519"/>
      <w:bookmarkStart w:id="453" w:name="_Toc477550176"/>
      <w:bookmarkStart w:id="454" w:name="_Toc477551097"/>
      <w:bookmarkStart w:id="455" w:name="_Toc477551257"/>
      <w:bookmarkStart w:id="456" w:name="_Toc477551395"/>
      <w:bookmarkStart w:id="457" w:name="_Toc477551532"/>
      <w:bookmarkStart w:id="458" w:name="_Toc477553552"/>
      <w:bookmarkStart w:id="459" w:name="_Toc477869042"/>
      <w:bookmarkStart w:id="460" w:name="_Toc477900991"/>
      <w:bookmarkStart w:id="461" w:name="_Toc477950264"/>
      <w:bookmarkStart w:id="462" w:name="_Toc477951244"/>
      <w:bookmarkStart w:id="463" w:name="_Toc477951382"/>
      <w:bookmarkStart w:id="464" w:name="_Toc477951520"/>
      <w:bookmarkStart w:id="465" w:name="_Toc477550177"/>
      <w:bookmarkStart w:id="466" w:name="_Toc477551098"/>
      <w:bookmarkStart w:id="467" w:name="_Toc477551258"/>
      <w:bookmarkStart w:id="468" w:name="_Toc477551396"/>
      <w:bookmarkStart w:id="469" w:name="_Toc477551533"/>
      <w:bookmarkStart w:id="470" w:name="_Toc477553553"/>
      <w:bookmarkStart w:id="471" w:name="_Toc477869043"/>
      <w:bookmarkStart w:id="472" w:name="_Toc477900992"/>
      <w:bookmarkStart w:id="473" w:name="_Toc477950265"/>
      <w:bookmarkStart w:id="474" w:name="_Toc477951245"/>
      <w:bookmarkStart w:id="475" w:name="_Toc477951383"/>
      <w:bookmarkStart w:id="476" w:name="_Toc477951521"/>
      <w:bookmarkStart w:id="477" w:name="_Toc477550178"/>
      <w:bookmarkStart w:id="478" w:name="_Toc477551099"/>
      <w:bookmarkStart w:id="479" w:name="_Toc477551259"/>
      <w:bookmarkStart w:id="480" w:name="_Toc477551397"/>
      <w:bookmarkStart w:id="481" w:name="_Toc477551534"/>
      <w:bookmarkStart w:id="482" w:name="_Toc477553554"/>
      <w:bookmarkStart w:id="483" w:name="_Toc477869044"/>
      <w:bookmarkStart w:id="484" w:name="_Toc477900993"/>
      <w:bookmarkStart w:id="485" w:name="_Toc477950266"/>
      <w:bookmarkStart w:id="486" w:name="_Toc477951246"/>
      <w:bookmarkStart w:id="487" w:name="_Toc477951384"/>
      <w:bookmarkStart w:id="488" w:name="_Toc477951522"/>
      <w:bookmarkStart w:id="489" w:name="_Toc477550179"/>
      <w:bookmarkStart w:id="490" w:name="_Toc477551100"/>
      <w:bookmarkStart w:id="491" w:name="_Toc477551260"/>
      <w:bookmarkStart w:id="492" w:name="_Toc477551398"/>
      <w:bookmarkStart w:id="493" w:name="_Toc477551535"/>
      <w:bookmarkStart w:id="494" w:name="_Toc477553555"/>
      <w:bookmarkStart w:id="495" w:name="_Toc477869045"/>
      <w:bookmarkStart w:id="496" w:name="_Toc477900994"/>
      <w:bookmarkStart w:id="497" w:name="_Toc477950267"/>
      <w:bookmarkStart w:id="498" w:name="_Toc477951247"/>
      <w:bookmarkStart w:id="499" w:name="_Toc477951385"/>
      <w:bookmarkStart w:id="500" w:name="_Toc477951523"/>
      <w:bookmarkStart w:id="501" w:name="_Toc477550180"/>
      <w:bookmarkStart w:id="502" w:name="_Toc477551101"/>
      <w:bookmarkStart w:id="503" w:name="_Toc477551261"/>
      <w:bookmarkStart w:id="504" w:name="_Toc477551399"/>
      <w:bookmarkStart w:id="505" w:name="_Toc477551536"/>
      <w:bookmarkStart w:id="506" w:name="_Toc477553556"/>
      <w:bookmarkStart w:id="507" w:name="_Toc477869046"/>
      <w:bookmarkStart w:id="508" w:name="_Toc477900995"/>
      <w:bookmarkStart w:id="509" w:name="_Toc477950268"/>
      <w:bookmarkStart w:id="510" w:name="_Toc477951248"/>
      <w:bookmarkStart w:id="511" w:name="_Toc477951386"/>
      <w:bookmarkStart w:id="512" w:name="_Toc477951524"/>
      <w:bookmarkStart w:id="513" w:name="_Toc477550181"/>
      <w:bookmarkStart w:id="514" w:name="_Toc477551102"/>
      <w:bookmarkStart w:id="515" w:name="_Toc477551262"/>
      <w:bookmarkStart w:id="516" w:name="_Toc477551400"/>
      <w:bookmarkStart w:id="517" w:name="_Toc477551537"/>
      <w:bookmarkStart w:id="518" w:name="_Toc477553557"/>
      <w:bookmarkStart w:id="519" w:name="_Toc477869047"/>
      <w:bookmarkStart w:id="520" w:name="_Toc477900996"/>
      <w:bookmarkStart w:id="521" w:name="_Toc477950269"/>
      <w:bookmarkStart w:id="522" w:name="_Toc477951249"/>
      <w:bookmarkStart w:id="523" w:name="_Toc477951387"/>
      <w:bookmarkStart w:id="524" w:name="_Toc477951525"/>
      <w:bookmarkStart w:id="525" w:name="_Toc477550182"/>
      <w:bookmarkStart w:id="526" w:name="_Toc477551103"/>
      <w:bookmarkStart w:id="527" w:name="_Toc477551263"/>
      <w:bookmarkStart w:id="528" w:name="_Toc477551401"/>
      <w:bookmarkStart w:id="529" w:name="_Toc477551538"/>
      <w:bookmarkStart w:id="530" w:name="_Toc477553558"/>
      <w:bookmarkStart w:id="531" w:name="_Toc477869048"/>
      <w:bookmarkStart w:id="532" w:name="_Toc477900997"/>
      <w:bookmarkStart w:id="533" w:name="_Toc477950270"/>
      <w:bookmarkStart w:id="534" w:name="_Toc477951250"/>
      <w:bookmarkStart w:id="535" w:name="_Toc477951388"/>
      <w:bookmarkStart w:id="536" w:name="_Toc477951526"/>
      <w:bookmarkStart w:id="537" w:name="_Toc477550184"/>
      <w:bookmarkStart w:id="538" w:name="_Toc477551105"/>
      <w:bookmarkStart w:id="539" w:name="_Toc477551265"/>
      <w:bookmarkStart w:id="540" w:name="_Toc477551403"/>
      <w:bookmarkStart w:id="541" w:name="_Toc477551540"/>
      <w:bookmarkStart w:id="542" w:name="_Toc477553560"/>
      <w:bookmarkStart w:id="543" w:name="_Toc477869050"/>
      <w:bookmarkStart w:id="544" w:name="_Toc477900999"/>
      <w:bookmarkStart w:id="545" w:name="_Toc477950272"/>
      <w:bookmarkStart w:id="546" w:name="_Toc477951252"/>
      <w:bookmarkStart w:id="547" w:name="_Toc477951390"/>
      <w:bookmarkStart w:id="548" w:name="_Toc477951528"/>
      <w:bookmarkStart w:id="549" w:name="_Toc477550185"/>
      <w:bookmarkStart w:id="550" w:name="_Toc477551106"/>
      <w:bookmarkStart w:id="551" w:name="_Toc477551266"/>
      <w:bookmarkStart w:id="552" w:name="_Toc477551404"/>
      <w:bookmarkStart w:id="553" w:name="_Toc477551541"/>
      <w:bookmarkStart w:id="554" w:name="_Toc477553561"/>
      <w:bookmarkStart w:id="555" w:name="_Toc477869051"/>
      <w:bookmarkStart w:id="556" w:name="_Toc477901000"/>
      <w:bookmarkStart w:id="557" w:name="_Toc477950273"/>
      <w:bookmarkStart w:id="558" w:name="_Toc477951253"/>
      <w:bookmarkStart w:id="559" w:name="_Toc477951391"/>
      <w:bookmarkStart w:id="560" w:name="_Toc477951529"/>
      <w:bookmarkStart w:id="561" w:name="_Toc477550215"/>
      <w:bookmarkStart w:id="562" w:name="_Toc477551136"/>
      <w:bookmarkStart w:id="563" w:name="_Toc477551296"/>
      <w:bookmarkStart w:id="564" w:name="_Toc477551434"/>
      <w:bookmarkStart w:id="565" w:name="_Toc477551571"/>
      <w:bookmarkStart w:id="566" w:name="_Toc477553591"/>
      <w:bookmarkStart w:id="567" w:name="_Toc477869081"/>
      <w:bookmarkStart w:id="568" w:name="_Toc477901030"/>
      <w:bookmarkStart w:id="569" w:name="_Toc477950303"/>
      <w:bookmarkStart w:id="570" w:name="_Toc477951283"/>
      <w:bookmarkStart w:id="571" w:name="_Toc477951421"/>
      <w:bookmarkStart w:id="572" w:name="_Toc477951559"/>
      <w:bookmarkStart w:id="573" w:name="_Toc477550223"/>
      <w:bookmarkStart w:id="574" w:name="_Toc477551144"/>
      <w:bookmarkStart w:id="575" w:name="_Toc477551304"/>
      <w:bookmarkStart w:id="576" w:name="_Toc477551442"/>
      <w:bookmarkStart w:id="577" w:name="_Toc477551579"/>
      <w:bookmarkStart w:id="578" w:name="_Toc477553599"/>
      <w:bookmarkStart w:id="579" w:name="_Toc477869089"/>
      <w:bookmarkStart w:id="580" w:name="_Toc477901038"/>
      <w:bookmarkStart w:id="581" w:name="_Toc477950311"/>
      <w:bookmarkStart w:id="582" w:name="_Toc486537947"/>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E62AC">
        <w:rPr>
          <w:rFonts w:eastAsia="Calibri"/>
          <w:color w:val="000000" w:themeColor="text1"/>
          <w:lang w:val="pl-PL"/>
        </w:rPr>
        <w:t xml:space="preserve">Analiza wybranych scenariuszy wdrożenia </w:t>
      </w:r>
      <w:r>
        <w:rPr>
          <w:rFonts w:eastAsia="Calibri"/>
          <w:color w:val="000000" w:themeColor="text1"/>
          <w:lang w:val="pl-PL"/>
        </w:rPr>
        <w:t xml:space="preserve">modelu - </w:t>
      </w:r>
      <w:r w:rsidRPr="004E62AC">
        <w:rPr>
          <w:rFonts w:eastAsia="Calibri"/>
          <w:color w:val="000000" w:themeColor="text1"/>
          <w:lang w:val="pl-PL"/>
        </w:rPr>
        <w:t>p</w:t>
      </w:r>
      <w:r w:rsidR="002A2DDD" w:rsidRPr="004E62AC">
        <w:rPr>
          <w:rFonts w:eastAsia="Calibri"/>
          <w:color w:val="000000" w:themeColor="text1"/>
          <w:lang w:val="pl-PL"/>
        </w:rPr>
        <w:t xml:space="preserve">rzedstawienie </w:t>
      </w:r>
      <w:r w:rsidRPr="004E62AC">
        <w:rPr>
          <w:rFonts w:eastAsia="Calibri"/>
          <w:color w:val="000000" w:themeColor="text1"/>
          <w:lang w:val="pl-PL"/>
        </w:rPr>
        <w:t>korzyści i szacunkowy wpływ na budżet</w:t>
      </w:r>
      <w:r>
        <w:rPr>
          <w:rFonts w:eastAsia="Calibri"/>
          <w:color w:val="000000" w:themeColor="text1"/>
          <w:lang w:val="pl-PL"/>
        </w:rPr>
        <w:t xml:space="preserve"> płatnika</w:t>
      </w:r>
      <w:bookmarkEnd w:id="582"/>
    </w:p>
    <w:bookmarkEnd w:id="1"/>
    <w:p w14:paraId="619ACBBB" w14:textId="2095AC67" w:rsidR="00D272B8" w:rsidRDefault="00761080" w:rsidP="004E62AC">
      <w:pPr>
        <w:rPr>
          <w:lang w:val="pl-PL"/>
        </w:rPr>
      </w:pPr>
      <w:r>
        <w:rPr>
          <w:lang w:val="pl-PL"/>
        </w:rPr>
        <w:t xml:space="preserve">Przedstawiony w niniejszym raporcie model opieki koordynowanej </w:t>
      </w:r>
      <w:r w:rsidR="00701445">
        <w:rPr>
          <w:lang w:val="pl-PL"/>
        </w:rPr>
        <w:t>składa się z kilku modułów</w:t>
      </w:r>
      <w:r w:rsidR="003C7D89">
        <w:rPr>
          <w:lang w:val="pl-PL"/>
        </w:rPr>
        <w:t>. Szacunki kosztów dla każde</w:t>
      </w:r>
      <w:r w:rsidR="003144C1">
        <w:rPr>
          <w:lang w:val="pl-PL"/>
        </w:rPr>
        <w:t>go</w:t>
      </w:r>
      <w:r w:rsidR="003C7D89">
        <w:rPr>
          <w:lang w:val="pl-PL"/>
        </w:rPr>
        <w:t xml:space="preserve"> z nich zostały opisane poniżej.</w:t>
      </w:r>
    </w:p>
    <w:p w14:paraId="0A86C284" w14:textId="3FB54970" w:rsidR="001A7228" w:rsidRPr="005242E6" w:rsidRDefault="00B439CC" w:rsidP="00E56213">
      <w:pPr>
        <w:pStyle w:val="EYHeading3"/>
        <w:rPr>
          <w:rFonts w:eastAsia="Calibri"/>
          <w:lang w:val="pl-PL"/>
        </w:rPr>
      </w:pPr>
      <w:bookmarkStart w:id="583" w:name="_Toc486537948"/>
      <w:r>
        <w:rPr>
          <w:rFonts w:eastAsia="Calibri"/>
          <w:lang w:val="pl-PL"/>
        </w:rPr>
        <w:t xml:space="preserve">Moduł A </w:t>
      </w:r>
      <w:r w:rsidR="0039153F">
        <w:rPr>
          <w:rFonts w:eastAsia="Calibri"/>
          <w:lang w:val="pl-PL"/>
        </w:rPr>
        <w:t xml:space="preserve">/ Moduł AA </w:t>
      </w:r>
      <w:r>
        <w:rPr>
          <w:rFonts w:eastAsia="Calibri"/>
          <w:lang w:val="pl-PL"/>
        </w:rPr>
        <w:t xml:space="preserve">- </w:t>
      </w:r>
      <w:r w:rsidR="00E56213" w:rsidRPr="00E56213">
        <w:rPr>
          <w:rFonts w:eastAsia="Calibri"/>
          <w:lang w:val="pl-PL"/>
        </w:rPr>
        <w:t>Opieka koordynowana</w:t>
      </w:r>
      <w:r w:rsidR="00E56213">
        <w:rPr>
          <w:rFonts w:eastAsia="Calibri"/>
          <w:lang w:val="pl-PL"/>
        </w:rPr>
        <w:t xml:space="preserve"> </w:t>
      </w:r>
      <w:r>
        <w:rPr>
          <w:rFonts w:eastAsia="Calibri"/>
          <w:lang w:val="pl-PL"/>
        </w:rPr>
        <w:t>pacjentów dializowanych</w:t>
      </w:r>
      <w:bookmarkEnd w:id="583"/>
    </w:p>
    <w:p w14:paraId="342FC0F6" w14:textId="08CA7E2B" w:rsidR="0039153F" w:rsidRDefault="000925A0" w:rsidP="00330AFD">
      <w:pPr>
        <w:rPr>
          <w:lang w:val="pl-PL"/>
        </w:rPr>
      </w:pPr>
      <w:r>
        <w:rPr>
          <w:lang w:val="pl-PL"/>
        </w:rPr>
        <w:t xml:space="preserve">Moduł </w:t>
      </w:r>
      <w:r w:rsidR="0039153F">
        <w:rPr>
          <w:lang w:val="pl-PL"/>
        </w:rPr>
        <w:t>ten</w:t>
      </w:r>
      <w:r w:rsidR="001A7228">
        <w:rPr>
          <w:lang w:val="pl-PL"/>
        </w:rPr>
        <w:t xml:space="preserve"> </w:t>
      </w:r>
      <w:r w:rsidR="001D17F6">
        <w:rPr>
          <w:lang w:val="pl-PL"/>
        </w:rPr>
        <w:t>dotyczy wprowadzenia</w:t>
      </w:r>
      <w:r w:rsidR="001A7228">
        <w:rPr>
          <w:lang w:val="pl-PL"/>
        </w:rPr>
        <w:t xml:space="preserve"> nowej organizacji opieki nad pacjentem dializowanym. Podstawowym elementem </w:t>
      </w:r>
      <w:r w:rsidR="001D17F6">
        <w:rPr>
          <w:lang w:val="pl-PL"/>
        </w:rPr>
        <w:t xml:space="preserve">jest </w:t>
      </w:r>
      <w:r w:rsidR="001A7228" w:rsidRPr="001A7228">
        <w:rPr>
          <w:lang w:val="pl-PL"/>
        </w:rPr>
        <w:t>scalenie r</w:t>
      </w:r>
      <w:r w:rsidR="001A7228" w:rsidRPr="001A7228">
        <w:rPr>
          <w:rFonts w:cs="EYInterstate Light"/>
          <w:lang w:val="pl-PL"/>
        </w:rPr>
        <w:t>ó</w:t>
      </w:r>
      <w:r w:rsidR="001A7228" w:rsidRPr="001A7228">
        <w:rPr>
          <w:lang w:val="pl-PL"/>
        </w:rPr>
        <w:t xml:space="preserve">l poradni </w:t>
      </w:r>
      <w:r w:rsidR="001A7228">
        <w:rPr>
          <w:lang w:val="pl-PL"/>
        </w:rPr>
        <w:t>n</w:t>
      </w:r>
      <w:r w:rsidR="001D17F6">
        <w:rPr>
          <w:lang w:val="pl-PL"/>
        </w:rPr>
        <w:t xml:space="preserve">efrologicznych </w:t>
      </w:r>
      <w:r w:rsidR="00C90117">
        <w:rPr>
          <w:lang w:val="pl-PL"/>
        </w:rPr>
        <w:t xml:space="preserve">w obszarze opieki nad pacjentem w zaawansowanym stadium </w:t>
      </w:r>
      <w:proofErr w:type="spellStart"/>
      <w:r w:rsidR="00C90117">
        <w:rPr>
          <w:lang w:val="pl-PL"/>
        </w:rPr>
        <w:t>PChN</w:t>
      </w:r>
      <w:proofErr w:type="spellEnd"/>
      <w:r w:rsidR="00C90117">
        <w:rPr>
          <w:lang w:val="pl-PL"/>
        </w:rPr>
        <w:t xml:space="preserve"> </w:t>
      </w:r>
      <w:r w:rsidR="001D17F6">
        <w:rPr>
          <w:lang w:val="pl-PL"/>
        </w:rPr>
        <w:t>i stacji dializ</w:t>
      </w:r>
      <w:r w:rsidR="00923A99">
        <w:rPr>
          <w:lang w:val="pl-PL"/>
        </w:rPr>
        <w:t xml:space="preserve"> i</w:t>
      </w:r>
      <w:r w:rsidR="001A7228">
        <w:rPr>
          <w:lang w:val="pl-PL"/>
        </w:rPr>
        <w:t xml:space="preserve"> tym samym </w:t>
      </w:r>
      <w:r w:rsidR="001A7228" w:rsidRPr="001A7228">
        <w:rPr>
          <w:lang w:val="pl-PL"/>
        </w:rPr>
        <w:t>wprowadzenie jednost</w:t>
      </w:r>
      <w:r w:rsidR="0007401B">
        <w:rPr>
          <w:lang w:val="pl-PL"/>
        </w:rPr>
        <w:t>ki</w:t>
      </w:r>
      <w:r w:rsidR="001A7228" w:rsidRPr="001A7228">
        <w:rPr>
          <w:lang w:val="pl-PL"/>
        </w:rPr>
        <w:t xml:space="preserve"> koordynuj</w:t>
      </w:r>
      <w:r w:rsidR="001A7228" w:rsidRPr="001A7228">
        <w:rPr>
          <w:rFonts w:cs="EYInterstate Light"/>
          <w:lang w:val="pl-PL"/>
        </w:rPr>
        <w:t>ą</w:t>
      </w:r>
      <w:r w:rsidR="001A7228" w:rsidRPr="001A7228">
        <w:rPr>
          <w:lang w:val="pl-PL"/>
        </w:rPr>
        <w:t>c</w:t>
      </w:r>
      <w:r w:rsidR="0007401B">
        <w:rPr>
          <w:lang w:val="pl-PL"/>
        </w:rPr>
        <w:t>ej</w:t>
      </w:r>
      <w:r w:rsidR="001A7228">
        <w:rPr>
          <w:lang w:val="pl-PL"/>
        </w:rPr>
        <w:t xml:space="preserve"> odpowiedzialn</w:t>
      </w:r>
      <w:r w:rsidR="0007401B">
        <w:rPr>
          <w:lang w:val="pl-PL"/>
        </w:rPr>
        <w:t>ej</w:t>
      </w:r>
      <w:r w:rsidR="001A7228">
        <w:rPr>
          <w:lang w:val="pl-PL"/>
        </w:rPr>
        <w:t xml:space="preserve"> za </w:t>
      </w:r>
      <w:r w:rsidR="001D17F6">
        <w:rPr>
          <w:lang w:val="pl-PL"/>
        </w:rPr>
        <w:t>proces</w:t>
      </w:r>
      <w:r w:rsidR="0007401B">
        <w:rPr>
          <w:lang w:val="pl-PL"/>
        </w:rPr>
        <w:t xml:space="preserve"> i wyniki</w:t>
      </w:r>
      <w:r w:rsidR="001A7228">
        <w:rPr>
          <w:lang w:val="pl-PL"/>
        </w:rPr>
        <w:t xml:space="preserve"> leczenia. </w:t>
      </w:r>
      <w:r w:rsidR="001D17F6">
        <w:rPr>
          <w:lang w:val="pl-PL"/>
        </w:rPr>
        <w:t xml:space="preserve">W tym </w:t>
      </w:r>
      <w:r w:rsidR="00C63B48">
        <w:rPr>
          <w:lang w:val="pl-PL"/>
        </w:rPr>
        <w:t xml:space="preserve">module </w:t>
      </w:r>
      <w:r w:rsidR="001D17F6">
        <w:rPr>
          <w:lang w:val="pl-PL"/>
        </w:rPr>
        <w:t>z</w:t>
      </w:r>
      <w:r w:rsidR="001A7228">
        <w:rPr>
          <w:lang w:val="pl-PL"/>
        </w:rPr>
        <w:t xml:space="preserve">akres świadczeń udzielanych w </w:t>
      </w:r>
      <w:r w:rsidR="001D17F6">
        <w:rPr>
          <w:lang w:val="pl-PL"/>
        </w:rPr>
        <w:t>jednostce</w:t>
      </w:r>
      <w:r w:rsidR="00AA6CF8">
        <w:rPr>
          <w:lang w:val="pl-PL"/>
        </w:rPr>
        <w:t xml:space="preserve"> </w:t>
      </w:r>
      <w:r w:rsidR="00AA6CF8">
        <w:rPr>
          <w:rFonts w:eastAsia="Calibri"/>
          <w:lang w:val="pl-PL"/>
        </w:rPr>
        <w:lastRenderedPageBreak/>
        <w:t xml:space="preserve">nie modyfikuje zakresu świadczonych </w:t>
      </w:r>
      <w:r w:rsidR="0007401B">
        <w:rPr>
          <w:rFonts w:eastAsia="Calibri"/>
          <w:lang w:val="pl-PL"/>
        </w:rPr>
        <w:t xml:space="preserve">aktualnie </w:t>
      </w:r>
      <w:r w:rsidR="00AA6CF8">
        <w:rPr>
          <w:rFonts w:eastAsia="Calibri"/>
          <w:lang w:val="pl-PL"/>
        </w:rPr>
        <w:t>usług</w:t>
      </w:r>
      <w:r w:rsidR="0007401B">
        <w:rPr>
          <w:rFonts w:eastAsia="Calibri"/>
          <w:lang w:val="pl-PL"/>
        </w:rPr>
        <w:t xml:space="preserve">. </w:t>
      </w:r>
      <w:r w:rsidR="0039153F">
        <w:rPr>
          <w:rFonts w:eastAsia="Calibri"/>
          <w:lang w:val="pl-PL"/>
        </w:rPr>
        <w:t xml:space="preserve">Przeanalizowano dwa warianty tego </w:t>
      </w:r>
      <w:r w:rsidR="00C63B48">
        <w:rPr>
          <w:rFonts w:eastAsia="Calibri"/>
          <w:lang w:val="pl-PL"/>
        </w:rPr>
        <w:t>modułu</w:t>
      </w:r>
      <w:r w:rsidR="0039153F">
        <w:rPr>
          <w:rFonts w:eastAsia="Calibri"/>
          <w:lang w:val="pl-PL"/>
        </w:rPr>
        <w:t xml:space="preserve">. Moduł A uwzględnia </w:t>
      </w:r>
      <w:r w:rsidR="0007401B">
        <w:rPr>
          <w:rFonts w:eastAsia="Calibri"/>
          <w:lang w:val="pl-PL"/>
        </w:rPr>
        <w:t>wprowadzeni</w:t>
      </w:r>
      <w:r w:rsidR="0039153F">
        <w:rPr>
          <w:rFonts w:eastAsia="Calibri"/>
          <w:lang w:val="pl-PL"/>
        </w:rPr>
        <w:t>e</w:t>
      </w:r>
      <w:r w:rsidR="003144C1">
        <w:rPr>
          <w:rFonts w:eastAsia="Calibri"/>
          <w:lang w:val="pl-PL"/>
        </w:rPr>
        <w:t xml:space="preserve"> dodatkowych</w:t>
      </w:r>
      <w:r w:rsidR="0007401B">
        <w:rPr>
          <w:rFonts w:eastAsia="Calibri"/>
          <w:lang w:val="pl-PL"/>
        </w:rPr>
        <w:t xml:space="preserve"> </w:t>
      </w:r>
      <w:r w:rsidR="0039153F">
        <w:rPr>
          <w:rFonts w:eastAsia="Calibri"/>
          <w:lang w:val="pl-PL"/>
        </w:rPr>
        <w:t xml:space="preserve">porad </w:t>
      </w:r>
      <w:r w:rsidR="00DB0E0C">
        <w:rPr>
          <w:rFonts w:eastAsia="Calibri"/>
          <w:lang w:val="pl-PL"/>
        </w:rPr>
        <w:t>nefrologicznych w cyklu co dwa tygodnie</w:t>
      </w:r>
      <w:r w:rsidR="001E671A">
        <w:rPr>
          <w:rStyle w:val="Odwoanieprzypisudolnego"/>
          <w:rFonts w:eastAsia="Calibri"/>
          <w:lang w:val="pl-PL"/>
        </w:rPr>
        <w:footnoteReference w:id="77"/>
      </w:r>
      <w:r w:rsidR="00DB0E0C">
        <w:rPr>
          <w:rFonts w:eastAsia="Calibri"/>
          <w:lang w:val="pl-PL"/>
        </w:rPr>
        <w:t xml:space="preserve"> oraz </w:t>
      </w:r>
      <w:r w:rsidR="0007401B">
        <w:rPr>
          <w:rFonts w:eastAsia="Calibri"/>
          <w:lang w:val="pl-PL"/>
        </w:rPr>
        <w:t xml:space="preserve">roli </w:t>
      </w:r>
      <w:r w:rsidR="001A7228">
        <w:rPr>
          <w:lang w:val="pl-PL"/>
        </w:rPr>
        <w:t>koordynator</w:t>
      </w:r>
      <w:r w:rsidR="0007401B">
        <w:rPr>
          <w:lang w:val="pl-PL"/>
        </w:rPr>
        <w:t xml:space="preserve">a wspierającego </w:t>
      </w:r>
      <w:r w:rsidR="001A7228">
        <w:rPr>
          <w:lang w:val="pl-PL"/>
        </w:rPr>
        <w:t>prowadzenie opieki i zarządza</w:t>
      </w:r>
      <w:r w:rsidR="0007401B">
        <w:rPr>
          <w:lang w:val="pl-PL"/>
        </w:rPr>
        <w:t>nie</w:t>
      </w:r>
      <w:r w:rsidR="001A7228">
        <w:rPr>
          <w:lang w:val="pl-PL"/>
        </w:rPr>
        <w:t xml:space="preserve"> środkami publicznymi </w:t>
      </w:r>
      <w:r w:rsidR="0007401B">
        <w:rPr>
          <w:lang w:val="pl-PL"/>
        </w:rPr>
        <w:t xml:space="preserve">przeznaczonymi </w:t>
      </w:r>
      <w:r w:rsidR="001A7228">
        <w:rPr>
          <w:lang w:val="pl-PL"/>
        </w:rPr>
        <w:t>na</w:t>
      </w:r>
      <w:r w:rsidR="005242E6">
        <w:rPr>
          <w:lang w:val="pl-PL"/>
        </w:rPr>
        <w:t xml:space="preserve"> leczenie pacjentów. </w:t>
      </w:r>
      <w:r w:rsidR="0039153F">
        <w:rPr>
          <w:lang w:val="pl-PL"/>
        </w:rPr>
        <w:t xml:space="preserve">Z kolei Moduł AA nie obejmuje dodatkowych porad nefrologicznych dla pacjentów dializowanych, a jedynie wprowadza </w:t>
      </w:r>
      <w:r w:rsidR="00C63B48">
        <w:rPr>
          <w:lang w:val="pl-PL"/>
        </w:rPr>
        <w:t xml:space="preserve">rolę </w:t>
      </w:r>
      <w:r w:rsidR="0039153F">
        <w:rPr>
          <w:lang w:val="pl-PL"/>
        </w:rPr>
        <w:t xml:space="preserve">koordynatora. </w:t>
      </w:r>
    </w:p>
    <w:p w14:paraId="462A6CE4" w14:textId="2793315A" w:rsidR="00106084" w:rsidRPr="005242E6" w:rsidRDefault="0039153F" w:rsidP="00330AFD">
      <w:pPr>
        <w:rPr>
          <w:rFonts w:eastAsia="Calibri"/>
          <w:lang w:val="pl-PL"/>
        </w:rPr>
      </w:pPr>
      <w:r>
        <w:rPr>
          <w:lang w:val="pl-PL"/>
        </w:rPr>
        <w:t xml:space="preserve">Głównym założeniem jest umożliwienie </w:t>
      </w:r>
      <w:r w:rsidR="001D17F6">
        <w:rPr>
          <w:lang w:val="pl-PL"/>
        </w:rPr>
        <w:t>leka</w:t>
      </w:r>
      <w:r w:rsidR="0007401B">
        <w:rPr>
          <w:lang w:val="pl-PL"/>
        </w:rPr>
        <w:t xml:space="preserve">rzowi </w:t>
      </w:r>
      <w:r w:rsidR="001D17F6">
        <w:rPr>
          <w:lang w:val="pl-PL"/>
        </w:rPr>
        <w:t>np.</w:t>
      </w:r>
      <w:r w:rsidR="005242E6">
        <w:rPr>
          <w:lang w:val="pl-PL"/>
        </w:rPr>
        <w:t xml:space="preserve"> decydowa</w:t>
      </w:r>
      <w:r>
        <w:rPr>
          <w:lang w:val="pl-PL"/>
        </w:rPr>
        <w:t>nia</w:t>
      </w:r>
      <w:r w:rsidR="005242E6">
        <w:rPr>
          <w:lang w:val="pl-PL"/>
        </w:rPr>
        <w:t xml:space="preserve"> o czasie i miejscu utworzenia dostępu</w:t>
      </w:r>
      <w:r w:rsidR="001D17F6">
        <w:rPr>
          <w:lang w:val="pl-PL"/>
        </w:rPr>
        <w:t xml:space="preserve"> niezbędnego do dializoterapii</w:t>
      </w:r>
      <w:r w:rsidR="005242E6">
        <w:rPr>
          <w:lang w:val="pl-PL"/>
        </w:rPr>
        <w:t xml:space="preserve">, a także </w:t>
      </w:r>
      <w:r>
        <w:rPr>
          <w:lang w:val="pl-PL"/>
        </w:rPr>
        <w:t xml:space="preserve">metod </w:t>
      </w:r>
      <w:r w:rsidR="005242E6">
        <w:rPr>
          <w:lang w:val="pl-PL"/>
        </w:rPr>
        <w:t>regulowa</w:t>
      </w:r>
      <w:r>
        <w:rPr>
          <w:lang w:val="pl-PL"/>
        </w:rPr>
        <w:t>nia</w:t>
      </w:r>
      <w:r w:rsidR="005242E6">
        <w:rPr>
          <w:lang w:val="pl-PL"/>
        </w:rPr>
        <w:t xml:space="preserve"> gospodark</w:t>
      </w:r>
      <w:r>
        <w:rPr>
          <w:lang w:val="pl-PL"/>
        </w:rPr>
        <w:t>i</w:t>
      </w:r>
      <w:r w:rsidR="005242E6">
        <w:rPr>
          <w:lang w:val="pl-PL"/>
        </w:rPr>
        <w:t xml:space="preserve"> wapniowo-fosforanow</w:t>
      </w:r>
      <w:r w:rsidR="002008B5">
        <w:rPr>
          <w:lang w:val="pl-PL"/>
        </w:rPr>
        <w:t>ej</w:t>
      </w:r>
      <w:r w:rsidR="005242E6">
        <w:rPr>
          <w:lang w:val="pl-PL"/>
        </w:rPr>
        <w:t xml:space="preserve"> u wszystkich pacjentów, którzy tego wymagaj</w:t>
      </w:r>
      <w:r w:rsidR="00AC0E84">
        <w:rPr>
          <w:lang w:val="pl-PL"/>
        </w:rPr>
        <w:t>ą</w:t>
      </w:r>
      <w:r w:rsidR="0007401B">
        <w:rPr>
          <w:lang w:val="pl-PL"/>
        </w:rPr>
        <w:t>,</w:t>
      </w:r>
      <w:r w:rsidR="00AA6CF8">
        <w:rPr>
          <w:lang w:val="pl-PL"/>
        </w:rPr>
        <w:t xml:space="preserve"> wykorzystując farmakoterapię optymalną z punktu widzenia wyników leczenia i kosztów leków</w:t>
      </w:r>
      <w:r w:rsidR="00AC0E84">
        <w:rPr>
          <w:lang w:val="pl-PL"/>
        </w:rPr>
        <w:t xml:space="preserve">. </w:t>
      </w:r>
      <w:r w:rsidR="00DB0E0C">
        <w:rPr>
          <w:lang w:val="pl-PL"/>
        </w:rPr>
        <w:t xml:space="preserve">Bardziej efektywne </w:t>
      </w:r>
      <w:r w:rsidR="00183A38">
        <w:rPr>
          <w:lang w:val="pl-PL"/>
        </w:rPr>
        <w:t>zarządzani</w:t>
      </w:r>
      <w:r w:rsidR="0007401B">
        <w:rPr>
          <w:lang w:val="pl-PL"/>
        </w:rPr>
        <w:t>e</w:t>
      </w:r>
      <w:r w:rsidR="00183A38">
        <w:rPr>
          <w:lang w:val="pl-PL"/>
        </w:rPr>
        <w:t xml:space="preserve"> leczeniem populacji dializowanej</w:t>
      </w:r>
      <w:r w:rsidR="0007401B">
        <w:rPr>
          <w:lang w:val="pl-PL"/>
        </w:rPr>
        <w:t xml:space="preserve"> potencjalnie pozwoli na </w:t>
      </w:r>
      <w:r w:rsidR="00AC0E84">
        <w:rPr>
          <w:lang w:val="pl-PL"/>
        </w:rPr>
        <w:t xml:space="preserve">osiągnięcie lepszych wyników leczenia, a w szczególności zmniejszenie liczby powikłań dostępów i interwencji z nimi związanych. </w:t>
      </w:r>
      <w:r w:rsidR="0007401B">
        <w:rPr>
          <w:lang w:val="pl-PL"/>
        </w:rPr>
        <w:t>W</w:t>
      </w:r>
      <w:r w:rsidR="00AC0E84">
        <w:rPr>
          <w:lang w:val="pl-PL"/>
        </w:rPr>
        <w:t xml:space="preserve">prowadzenie koordynacji dla populacji 20 tys. pacjentów to inwestycja rzędu </w:t>
      </w:r>
      <w:r w:rsidR="00701445">
        <w:rPr>
          <w:lang w:val="pl-PL"/>
        </w:rPr>
        <w:t>41</w:t>
      </w:r>
      <w:r w:rsidR="00AC0E84">
        <w:rPr>
          <w:lang w:val="pl-PL"/>
        </w:rPr>
        <w:t xml:space="preserve"> mln PLN</w:t>
      </w:r>
      <w:r>
        <w:rPr>
          <w:lang w:val="pl-PL"/>
        </w:rPr>
        <w:t xml:space="preserve"> w przypadku modułu A lub osz</w:t>
      </w:r>
      <w:r w:rsidR="00F218D3">
        <w:rPr>
          <w:lang w:val="pl-PL"/>
        </w:rPr>
        <w:t>czędności w wysokości 3 mln PLN w przypadku modułu AA</w:t>
      </w:r>
      <w:r w:rsidR="00AC0E84">
        <w:rPr>
          <w:lang w:val="pl-PL"/>
        </w:rPr>
        <w:t xml:space="preserve">. </w:t>
      </w:r>
    </w:p>
    <w:p w14:paraId="64A0507A" w14:textId="3DA7BF3F" w:rsidR="005242E6" w:rsidRDefault="00B439CC" w:rsidP="00E56213">
      <w:pPr>
        <w:pStyle w:val="EYHeading3"/>
        <w:rPr>
          <w:rFonts w:eastAsia="Calibri"/>
          <w:lang w:val="pl-PL"/>
        </w:rPr>
      </w:pPr>
      <w:bookmarkStart w:id="584" w:name="_Toc486537949"/>
      <w:r>
        <w:rPr>
          <w:rFonts w:eastAsia="Calibri"/>
          <w:lang w:val="pl-PL"/>
        </w:rPr>
        <w:t xml:space="preserve">Moduł B - </w:t>
      </w:r>
      <w:r w:rsidR="00E56213" w:rsidRPr="00E56213">
        <w:rPr>
          <w:rFonts w:eastAsia="Calibri"/>
          <w:lang w:val="pl-PL"/>
        </w:rPr>
        <w:t xml:space="preserve">Opieka </w:t>
      </w:r>
      <w:r>
        <w:rPr>
          <w:rFonts w:eastAsia="Calibri"/>
          <w:lang w:val="pl-PL"/>
        </w:rPr>
        <w:t>koordynowana+ pacjentów dializowanych</w:t>
      </w:r>
      <w:bookmarkEnd w:id="584"/>
    </w:p>
    <w:p w14:paraId="753C3681" w14:textId="65E3D764" w:rsidR="00B63588" w:rsidRDefault="00DB0E0C" w:rsidP="00B63588">
      <w:pPr>
        <w:rPr>
          <w:rFonts w:eastAsia="Calibri"/>
          <w:lang w:val="pl-PL"/>
        </w:rPr>
      </w:pPr>
      <w:r>
        <w:rPr>
          <w:rFonts w:eastAsia="Calibri"/>
          <w:lang w:val="pl-PL"/>
        </w:rPr>
        <w:t xml:space="preserve">Moduł B, czyli opieka koordynowana+ dla pacjentów dializowanych obejmuje </w:t>
      </w:r>
      <w:r w:rsidR="00AA6CF8">
        <w:rPr>
          <w:rFonts w:eastAsia="Calibri"/>
          <w:lang w:val="pl-PL"/>
        </w:rPr>
        <w:t>wprowadzenie wsparcia</w:t>
      </w:r>
      <w:r w:rsidR="00DB5429">
        <w:rPr>
          <w:rFonts w:eastAsia="Calibri"/>
          <w:lang w:val="pl-PL"/>
        </w:rPr>
        <w:t xml:space="preserve"> leczenia nerkozastępczego </w:t>
      </w:r>
      <w:r w:rsidR="00AA6CF8">
        <w:rPr>
          <w:rFonts w:eastAsia="Calibri"/>
          <w:lang w:val="pl-PL"/>
        </w:rPr>
        <w:t>świadczeniami uzupełniającymi</w:t>
      </w:r>
      <w:r w:rsidR="00CF5C5E">
        <w:rPr>
          <w:rFonts w:eastAsia="Calibri"/>
          <w:lang w:val="pl-PL"/>
        </w:rPr>
        <w:t xml:space="preserve"> w postaci porad dietetyka, porad psychologa</w:t>
      </w:r>
      <w:r>
        <w:rPr>
          <w:rFonts w:eastAsia="Calibri"/>
          <w:lang w:val="pl-PL"/>
        </w:rPr>
        <w:t xml:space="preserve">, </w:t>
      </w:r>
      <w:r w:rsidR="00CF5C5E">
        <w:rPr>
          <w:rFonts w:eastAsia="Calibri"/>
          <w:lang w:val="pl-PL"/>
        </w:rPr>
        <w:t>edukacji</w:t>
      </w:r>
      <w:r>
        <w:rPr>
          <w:rFonts w:eastAsia="Calibri"/>
          <w:lang w:val="pl-PL"/>
        </w:rPr>
        <w:t xml:space="preserve"> oraz opieki fizjoterapeuty</w:t>
      </w:r>
      <w:r w:rsidR="00CF5C5E">
        <w:rPr>
          <w:rFonts w:eastAsia="Calibri"/>
          <w:lang w:val="pl-PL"/>
        </w:rPr>
        <w:t>.</w:t>
      </w:r>
      <w:r w:rsidR="00B63588">
        <w:rPr>
          <w:rFonts w:eastAsia="Calibri"/>
          <w:lang w:val="pl-PL"/>
        </w:rPr>
        <w:t xml:space="preserve"> </w:t>
      </w:r>
      <w:r w:rsidR="00DB5429">
        <w:rPr>
          <w:rFonts w:eastAsia="Calibri"/>
          <w:lang w:val="pl-PL"/>
        </w:rPr>
        <w:t>Zdefiniowanie odpowiedniego żywienia</w:t>
      </w:r>
      <w:r>
        <w:rPr>
          <w:rFonts w:eastAsia="Calibri"/>
          <w:lang w:val="pl-PL"/>
        </w:rPr>
        <w:t>, fizjoterapia</w:t>
      </w:r>
      <w:r w:rsidR="00B63588">
        <w:rPr>
          <w:rFonts w:eastAsia="Calibri"/>
          <w:lang w:val="pl-PL"/>
        </w:rPr>
        <w:t xml:space="preserve">, a także edukacja pacjentów ma wpływ na </w:t>
      </w:r>
      <w:r w:rsidR="00DB5429">
        <w:rPr>
          <w:rFonts w:eastAsia="Calibri"/>
          <w:lang w:val="pl-PL"/>
        </w:rPr>
        <w:t xml:space="preserve">całościowe </w:t>
      </w:r>
      <w:r w:rsidR="00B63588">
        <w:rPr>
          <w:rFonts w:eastAsia="Calibri"/>
          <w:lang w:val="pl-PL"/>
        </w:rPr>
        <w:t xml:space="preserve">wyniki postępowania terapeutycznego. Tego rodzaju świadczenia mogą </w:t>
      </w:r>
      <w:r w:rsidR="00E23440">
        <w:rPr>
          <w:rFonts w:eastAsia="Calibri"/>
          <w:lang w:val="pl-PL"/>
        </w:rPr>
        <w:t xml:space="preserve">potencjalnie przyczynić się do poprawy </w:t>
      </w:r>
      <w:r w:rsidR="00B63588" w:rsidRPr="00B63588">
        <w:rPr>
          <w:rFonts w:eastAsia="Calibri"/>
          <w:lang w:val="pl-PL"/>
        </w:rPr>
        <w:t>wynik</w:t>
      </w:r>
      <w:r w:rsidR="00B63588" w:rsidRPr="00B63588">
        <w:rPr>
          <w:rFonts w:eastAsia="Calibri" w:cs="EYInterstate Light"/>
          <w:lang w:val="pl-PL"/>
        </w:rPr>
        <w:t>ó</w:t>
      </w:r>
      <w:r w:rsidR="00B63588" w:rsidRPr="00B63588">
        <w:rPr>
          <w:rFonts w:eastAsia="Calibri"/>
          <w:lang w:val="pl-PL"/>
        </w:rPr>
        <w:t>w l</w:t>
      </w:r>
      <w:r w:rsidR="00B63588">
        <w:rPr>
          <w:rFonts w:eastAsia="Calibri"/>
          <w:lang w:val="pl-PL"/>
        </w:rPr>
        <w:t>eczenia populacji dializowanych</w:t>
      </w:r>
      <w:r w:rsidR="00E23440">
        <w:rPr>
          <w:rFonts w:eastAsia="Calibri"/>
          <w:lang w:val="pl-PL"/>
        </w:rPr>
        <w:t xml:space="preserve"> i w konsekwencji zmniejszyć koszty pośrednie </w:t>
      </w:r>
      <w:proofErr w:type="spellStart"/>
      <w:r w:rsidR="00E23440">
        <w:rPr>
          <w:rFonts w:eastAsia="Calibri"/>
          <w:lang w:val="pl-PL"/>
        </w:rPr>
        <w:t>PChN</w:t>
      </w:r>
      <w:proofErr w:type="spellEnd"/>
      <w:r w:rsidR="00E23440">
        <w:rPr>
          <w:rFonts w:eastAsia="Calibri"/>
          <w:lang w:val="pl-PL"/>
        </w:rPr>
        <w:t>.</w:t>
      </w:r>
      <w:r w:rsidR="00B63588">
        <w:rPr>
          <w:rFonts w:eastAsia="Calibri"/>
          <w:lang w:val="pl-PL"/>
        </w:rPr>
        <w:t xml:space="preserve"> </w:t>
      </w:r>
    </w:p>
    <w:p w14:paraId="2203D911" w14:textId="70CB0AF1" w:rsidR="00B63588" w:rsidRDefault="00DB5429" w:rsidP="00B63588">
      <w:pPr>
        <w:rPr>
          <w:rFonts w:eastAsia="Calibri"/>
          <w:lang w:val="pl-PL"/>
        </w:rPr>
      </w:pPr>
      <w:r>
        <w:rPr>
          <w:rFonts w:eastAsia="Calibri"/>
          <w:lang w:val="pl-PL"/>
        </w:rPr>
        <w:t xml:space="preserve">Przewlekła choroba nerek </w:t>
      </w:r>
      <w:r w:rsidR="00E23440">
        <w:rPr>
          <w:rFonts w:eastAsia="Calibri"/>
          <w:lang w:val="pl-PL"/>
        </w:rPr>
        <w:t>w zaawansowanym stadium choroby znacznie modyfikuje styl życia chorego</w:t>
      </w:r>
      <w:r>
        <w:rPr>
          <w:rFonts w:eastAsia="Calibri"/>
          <w:lang w:val="pl-PL"/>
        </w:rPr>
        <w:t xml:space="preserve">. </w:t>
      </w:r>
      <w:r w:rsidR="00E23440">
        <w:rPr>
          <w:rFonts w:eastAsia="Calibri"/>
          <w:lang w:val="pl-PL"/>
        </w:rPr>
        <w:t xml:space="preserve">Ciągła </w:t>
      </w:r>
      <w:r>
        <w:rPr>
          <w:rFonts w:eastAsia="Calibri"/>
          <w:lang w:val="pl-PL"/>
        </w:rPr>
        <w:t>dializoterapi</w:t>
      </w:r>
      <w:r w:rsidR="00E23440">
        <w:rPr>
          <w:rFonts w:eastAsia="Calibri"/>
          <w:lang w:val="pl-PL"/>
        </w:rPr>
        <w:t>a</w:t>
      </w:r>
      <w:r>
        <w:rPr>
          <w:rFonts w:eastAsia="Calibri"/>
          <w:lang w:val="pl-PL"/>
        </w:rPr>
        <w:t xml:space="preserve"> może być trudn</w:t>
      </w:r>
      <w:r w:rsidR="009376B0">
        <w:rPr>
          <w:rFonts w:eastAsia="Calibri"/>
          <w:lang w:val="pl-PL"/>
        </w:rPr>
        <w:t>a</w:t>
      </w:r>
      <w:r>
        <w:rPr>
          <w:rFonts w:eastAsia="Calibri"/>
          <w:lang w:val="pl-PL"/>
        </w:rPr>
        <w:t xml:space="preserve"> do zaakceptowania, szczególnie dla młodszych pacjentów. Z tego względu zalecane jest uzupełnienie opieki koordynowanej o </w:t>
      </w:r>
      <w:r w:rsidR="00B63588">
        <w:rPr>
          <w:rFonts w:eastAsia="Calibri"/>
          <w:lang w:val="pl-PL"/>
        </w:rPr>
        <w:t>porad</w:t>
      </w:r>
      <w:r>
        <w:rPr>
          <w:rFonts w:eastAsia="Calibri"/>
          <w:lang w:val="pl-PL"/>
        </w:rPr>
        <w:t>y psychologa</w:t>
      </w:r>
      <w:r w:rsidRPr="00E23440">
        <w:rPr>
          <w:rStyle w:val="Odwoanieprzypisudolnego"/>
          <w:rFonts w:eastAsia="Calibri"/>
          <w:sz w:val="22"/>
          <w:lang w:val="pl-PL"/>
        </w:rPr>
        <w:footnoteReference w:id="78"/>
      </w:r>
      <w:r>
        <w:rPr>
          <w:rFonts w:eastAsia="Calibri"/>
          <w:lang w:val="pl-PL"/>
        </w:rPr>
        <w:t xml:space="preserve">. Dostęp do tego specjalisty </w:t>
      </w:r>
      <w:r w:rsidR="00B63588">
        <w:rPr>
          <w:rFonts w:eastAsia="Calibri"/>
          <w:lang w:val="pl-PL"/>
        </w:rPr>
        <w:t>może wpłynąć na poprawę</w:t>
      </w:r>
      <w:r w:rsidR="00B63588" w:rsidRPr="00B63588">
        <w:rPr>
          <w:rFonts w:eastAsia="Calibri"/>
          <w:lang w:val="pl-PL"/>
        </w:rPr>
        <w:t xml:space="preserve"> jako</w:t>
      </w:r>
      <w:r w:rsidR="00B63588" w:rsidRPr="00B63588">
        <w:rPr>
          <w:rFonts w:eastAsia="Calibri" w:cs="EYInterstate Light"/>
          <w:lang w:val="pl-PL"/>
        </w:rPr>
        <w:t>ś</w:t>
      </w:r>
      <w:r w:rsidR="00B63588" w:rsidRPr="00B63588">
        <w:rPr>
          <w:rFonts w:eastAsia="Calibri"/>
          <w:lang w:val="pl-PL"/>
        </w:rPr>
        <w:t xml:space="preserve">ci </w:t>
      </w:r>
      <w:r w:rsidR="00B63588" w:rsidRPr="00B63588">
        <w:rPr>
          <w:rFonts w:eastAsia="Calibri" w:cs="EYInterstate Light"/>
          <w:lang w:val="pl-PL"/>
        </w:rPr>
        <w:t>ż</w:t>
      </w:r>
      <w:r w:rsidR="00B63588" w:rsidRPr="00B63588">
        <w:rPr>
          <w:rFonts w:eastAsia="Calibri"/>
          <w:lang w:val="pl-PL"/>
        </w:rPr>
        <w:t>ycia i satysfakcji pacjent</w:t>
      </w:r>
      <w:r w:rsidR="00B63588" w:rsidRPr="00B63588">
        <w:rPr>
          <w:rFonts w:eastAsia="Calibri" w:cs="EYInterstate Light"/>
          <w:lang w:val="pl-PL"/>
        </w:rPr>
        <w:t>ó</w:t>
      </w:r>
      <w:r w:rsidR="00B63588" w:rsidRPr="00B63588">
        <w:rPr>
          <w:rFonts w:eastAsia="Calibri"/>
          <w:lang w:val="pl-PL"/>
        </w:rPr>
        <w:t>w</w:t>
      </w:r>
      <w:r w:rsidR="00B63588">
        <w:rPr>
          <w:rFonts w:eastAsia="Calibri"/>
          <w:lang w:val="pl-PL"/>
        </w:rPr>
        <w:t>.</w:t>
      </w:r>
    </w:p>
    <w:p w14:paraId="08AB31BA" w14:textId="386FBACF" w:rsidR="00B63588" w:rsidRPr="005242E6" w:rsidRDefault="00AA6CF8" w:rsidP="00B63588">
      <w:pPr>
        <w:rPr>
          <w:rFonts w:eastAsia="Calibri"/>
          <w:lang w:val="pl-PL"/>
        </w:rPr>
      </w:pPr>
      <w:r>
        <w:rPr>
          <w:rFonts w:eastAsia="Calibri"/>
          <w:lang w:val="pl-PL"/>
        </w:rPr>
        <w:t xml:space="preserve">Wprowadzenie </w:t>
      </w:r>
      <w:r w:rsidR="00E01014">
        <w:rPr>
          <w:rFonts w:eastAsia="Calibri"/>
          <w:lang w:val="pl-PL"/>
        </w:rPr>
        <w:t>dodatkowy</w:t>
      </w:r>
      <w:r w:rsidR="001344F4">
        <w:rPr>
          <w:rFonts w:eastAsia="Calibri"/>
          <w:lang w:val="pl-PL"/>
        </w:rPr>
        <w:t>ch</w:t>
      </w:r>
      <w:r w:rsidR="00E01014">
        <w:rPr>
          <w:rFonts w:eastAsia="Calibri"/>
          <w:lang w:val="pl-PL"/>
        </w:rPr>
        <w:t xml:space="preserve"> elementów wsparcia pacjentów </w:t>
      </w:r>
      <w:r w:rsidR="00B63588">
        <w:rPr>
          <w:rFonts w:eastAsia="Calibri"/>
          <w:lang w:val="pl-PL"/>
        </w:rPr>
        <w:t xml:space="preserve">dializowanych to inwestycja ok </w:t>
      </w:r>
      <w:r w:rsidR="00DB0E0C">
        <w:rPr>
          <w:rFonts w:eastAsia="Calibri"/>
          <w:lang w:val="pl-PL"/>
        </w:rPr>
        <w:t>31</w:t>
      </w:r>
      <w:r w:rsidR="00B63588">
        <w:rPr>
          <w:rFonts w:eastAsia="Calibri"/>
          <w:lang w:val="pl-PL"/>
        </w:rPr>
        <w:t xml:space="preserve"> mln PLN.</w:t>
      </w:r>
    </w:p>
    <w:p w14:paraId="2A9F6A2A" w14:textId="0808F7D8" w:rsidR="005242E6" w:rsidRDefault="00B439CC" w:rsidP="00E56213">
      <w:pPr>
        <w:pStyle w:val="EYHeading3"/>
        <w:rPr>
          <w:rFonts w:eastAsia="Calibri"/>
          <w:lang w:val="pl-PL"/>
        </w:rPr>
      </w:pPr>
      <w:bookmarkStart w:id="585" w:name="_Toc486537950"/>
      <w:r>
        <w:rPr>
          <w:rFonts w:eastAsia="Calibri"/>
          <w:lang w:val="pl-PL"/>
        </w:rPr>
        <w:t xml:space="preserve">Moduł C </w:t>
      </w:r>
      <w:r w:rsidR="00E56213" w:rsidRPr="00E56213">
        <w:rPr>
          <w:rFonts w:eastAsia="Calibri"/>
          <w:lang w:val="pl-PL"/>
        </w:rPr>
        <w:t>Opieka koordynowana pacjentów przed dializą</w:t>
      </w:r>
      <w:bookmarkEnd w:id="585"/>
    </w:p>
    <w:p w14:paraId="02233857" w14:textId="5EC04117" w:rsidR="00E74CAC" w:rsidRDefault="00DB0E0C" w:rsidP="00B63588">
      <w:pPr>
        <w:rPr>
          <w:rFonts w:eastAsia="Calibri"/>
          <w:lang w:val="pl-PL"/>
        </w:rPr>
      </w:pPr>
      <w:r>
        <w:rPr>
          <w:rFonts w:eastAsia="Calibri"/>
          <w:lang w:val="pl-PL"/>
        </w:rPr>
        <w:t>Moduł C</w:t>
      </w:r>
      <w:r w:rsidR="00B63588">
        <w:rPr>
          <w:rFonts w:eastAsia="Calibri"/>
          <w:lang w:val="pl-PL"/>
        </w:rPr>
        <w:t xml:space="preserve"> </w:t>
      </w:r>
      <w:r>
        <w:rPr>
          <w:rFonts w:eastAsia="Calibri"/>
          <w:lang w:val="pl-PL"/>
        </w:rPr>
        <w:t xml:space="preserve">to </w:t>
      </w:r>
      <w:r w:rsidR="00B63588" w:rsidRPr="00B63588">
        <w:rPr>
          <w:rFonts w:eastAsia="Calibri"/>
          <w:lang w:val="pl-PL"/>
        </w:rPr>
        <w:t>opiek</w:t>
      </w:r>
      <w:r>
        <w:rPr>
          <w:rFonts w:eastAsia="Calibri" w:cs="EYInterstate Light"/>
          <w:lang w:val="pl-PL"/>
        </w:rPr>
        <w:t>a</w:t>
      </w:r>
      <w:r w:rsidR="00B63588" w:rsidRPr="00B63588">
        <w:rPr>
          <w:rFonts w:eastAsia="Calibri"/>
          <w:lang w:val="pl-PL"/>
        </w:rPr>
        <w:t xml:space="preserve"> koordynowan</w:t>
      </w:r>
      <w:r>
        <w:rPr>
          <w:rFonts w:eastAsia="Calibri" w:cs="EYInterstate Light"/>
          <w:lang w:val="pl-PL"/>
        </w:rPr>
        <w:t>a</w:t>
      </w:r>
      <w:r w:rsidR="00B63588" w:rsidRPr="00B63588">
        <w:rPr>
          <w:rFonts w:eastAsia="Calibri"/>
          <w:lang w:val="pl-PL"/>
        </w:rPr>
        <w:t xml:space="preserve"> populacji pacjent</w:t>
      </w:r>
      <w:r w:rsidR="00B63588" w:rsidRPr="00B63588">
        <w:rPr>
          <w:rFonts w:eastAsia="Calibri" w:cs="EYInterstate Light"/>
          <w:lang w:val="pl-PL"/>
        </w:rPr>
        <w:t>ó</w:t>
      </w:r>
      <w:r w:rsidR="00B63588">
        <w:rPr>
          <w:rFonts w:eastAsia="Calibri"/>
          <w:lang w:val="pl-PL"/>
        </w:rPr>
        <w:t xml:space="preserve">w </w:t>
      </w:r>
      <w:r w:rsidR="0076185D">
        <w:rPr>
          <w:rFonts w:eastAsia="Calibri"/>
          <w:lang w:val="pl-PL"/>
        </w:rPr>
        <w:t>przed dializą</w:t>
      </w:r>
      <w:r w:rsidR="00B63588">
        <w:rPr>
          <w:rFonts w:eastAsia="Calibri"/>
          <w:lang w:val="pl-PL"/>
        </w:rPr>
        <w:t xml:space="preserve">. </w:t>
      </w:r>
      <w:r>
        <w:rPr>
          <w:rFonts w:eastAsia="Calibri"/>
          <w:lang w:val="pl-PL"/>
        </w:rPr>
        <w:t xml:space="preserve">Przeanalizowano trzy </w:t>
      </w:r>
      <w:r w:rsidR="00E46B14">
        <w:rPr>
          <w:rFonts w:eastAsia="Calibri"/>
          <w:lang w:val="pl-PL"/>
        </w:rPr>
        <w:t xml:space="preserve">warianty </w:t>
      </w:r>
      <w:r>
        <w:rPr>
          <w:rFonts w:eastAsia="Calibri"/>
          <w:lang w:val="pl-PL"/>
        </w:rPr>
        <w:t>populacyjne</w:t>
      </w:r>
      <w:r w:rsidR="00E74CAC">
        <w:rPr>
          <w:rFonts w:eastAsia="Calibri"/>
          <w:lang w:val="pl-PL"/>
        </w:rPr>
        <w:t>. Ich założenia</w:t>
      </w:r>
      <w:r w:rsidR="00C63B48">
        <w:rPr>
          <w:rFonts w:eastAsia="Calibri"/>
          <w:lang w:val="pl-PL"/>
        </w:rPr>
        <w:t>, w tym poziom penetracji objęcia opieką koordynowaną,</w:t>
      </w:r>
      <w:r w:rsidR="00E74CAC">
        <w:rPr>
          <w:rFonts w:eastAsia="Calibri"/>
          <w:lang w:val="pl-PL"/>
        </w:rPr>
        <w:t xml:space="preserve"> zaprezentowano w poniższej tabeli:</w:t>
      </w:r>
    </w:p>
    <w:p w14:paraId="0A70B361" w14:textId="6BB91922" w:rsidR="00E74CAC" w:rsidRDefault="00E74CAC" w:rsidP="00060165">
      <w:pPr>
        <w:pStyle w:val="Legenda"/>
        <w:keepNext/>
        <w:rPr>
          <w:b/>
          <w:i w:val="0"/>
          <w:color w:val="auto"/>
          <w:lang w:val="pl-PL"/>
        </w:rPr>
      </w:pPr>
      <w:bookmarkStart w:id="586" w:name="_Toc486537987"/>
      <w:r w:rsidRPr="00060165">
        <w:rPr>
          <w:b/>
          <w:i w:val="0"/>
          <w:color w:val="auto"/>
          <w:lang w:val="pl-PL"/>
        </w:rPr>
        <w:lastRenderedPageBreak/>
        <w:t xml:space="preserve">Tabela </w:t>
      </w:r>
      <w:r w:rsidRPr="00060165">
        <w:rPr>
          <w:b/>
          <w:i w:val="0"/>
          <w:color w:val="auto"/>
          <w:lang w:val="pl-PL"/>
        </w:rPr>
        <w:fldChar w:fldCharType="begin"/>
      </w:r>
      <w:r w:rsidRPr="00060165">
        <w:rPr>
          <w:b/>
          <w:i w:val="0"/>
          <w:color w:val="auto"/>
          <w:lang w:val="pl-PL"/>
        </w:rPr>
        <w:instrText xml:space="preserve"> SEQ Tabela \* ARABIC </w:instrText>
      </w:r>
      <w:r w:rsidRPr="00060165">
        <w:rPr>
          <w:b/>
          <w:i w:val="0"/>
          <w:color w:val="auto"/>
          <w:lang w:val="pl-PL"/>
        </w:rPr>
        <w:fldChar w:fldCharType="separate"/>
      </w:r>
      <w:r w:rsidR="005C7285">
        <w:rPr>
          <w:b/>
          <w:i w:val="0"/>
          <w:noProof/>
          <w:color w:val="auto"/>
          <w:lang w:val="pl-PL"/>
        </w:rPr>
        <w:t>24</w:t>
      </w:r>
      <w:r w:rsidRPr="00060165">
        <w:rPr>
          <w:b/>
          <w:i w:val="0"/>
          <w:color w:val="auto"/>
          <w:lang w:val="pl-PL"/>
        </w:rPr>
        <w:fldChar w:fldCharType="end"/>
      </w:r>
      <w:r w:rsidRPr="00060165">
        <w:rPr>
          <w:b/>
          <w:i w:val="0"/>
          <w:color w:val="auto"/>
          <w:lang w:val="pl-PL"/>
        </w:rPr>
        <w:t xml:space="preserve"> Wielkość </w:t>
      </w:r>
      <w:r w:rsidR="00535CBB">
        <w:rPr>
          <w:b/>
          <w:i w:val="0"/>
          <w:color w:val="auto"/>
          <w:lang w:val="pl-PL"/>
        </w:rPr>
        <w:t xml:space="preserve">populacji </w:t>
      </w:r>
      <w:r w:rsidR="00535CBB" w:rsidRPr="00307122">
        <w:rPr>
          <w:b/>
          <w:i w:val="0"/>
          <w:color w:val="auto"/>
          <w:lang w:val="pl-PL"/>
        </w:rPr>
        <w:t xml:space="preserve">pacjentów przed dializą </w:t>
      </w:r>
      <w:r w:rsidR="00535CBB">
        <w:rPr>
          <w:b/>
          <w:i w:val="0"/>
          <w:color w:val="auto"/>
          <w:lang w:val="pl-PL"/>
        </w:rPr>
        <w:t xml:space="preserve">w </w:t>
      </w:r>
      <w:r w:rsidRPr="00060165">
        <w:rPr>
          <w:b/>
          <w:i w:val="0"/>
          <w:color w:val="auto"/>
          <w:lang w:val="pl-PL"/>
        </w:rPr>
        <w:t>analizowanych scenarius</w:t>
      </w:r>
      <w:r w:rsidR="00535CBB">
        <w:rPr>
          <w:b/>
          <w:i w:val="0"/>
          <w:color w:val="auto"/>
          <w:lang w:val="pl-PL"/>
        </w:rPr>
        <w:t>zach</w:t>
      </w:r>
      <w:bookmarkEnd w:id="586"/>
      <w:r w:rsidR="00535CBB">
        <w:rPr>
          <w:b/>
          <w:i w:val="0"/>
          <w:color w:val="auto"/>
          <w:lang w:val="pl-PL"/>
        </w:rPr>
        <w:t xml:space="preserve"> </w:t>
      </w:r>
    </w:p>
    <w:p w14:paraId="1CEFF798" w14:textId="56524559" w:rsidR="00E46B14" w:rsidRPr="00E46B14" w:rsidRDefault="00E46B14" w:rsidP="00E46B14">
      <w:pPr>
        <w:rPr>
          <w:lang w:val="pl-PL"/>
        </w:rPr>
      </w:pPr>
      <w:r>
        <w:rPr>
          <w:noProof/>
          <w:lang w:val="pl-PL" w:eastAsia="pl-PL"/>
        </w:rPr>
        <w:drawing>
          <wp:inline distT="0" distB="0" distL="0" distR="0" wp14:anchorId="7AD036DD" wp14:editId="2D3B581A">
            <wp:extent cx="5436000" cy="1706400"/>
            <wp:effectExtent l="0" t="0" r="0" b="825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6000" cy="1706400"/>
                    </a:xfrm>
                    <a:prstGeom prst="rect">
                      <a:avLst/>
                    </a:prstGeom>
                    <a:noFill/>
                  </pic:spPr>
                </pic:pic>
              </a:graphicData>
            </a:graphic>
          </wp:inline>
        </w:drawing>
      </w:r>
    </w:p>
    <w:p w14:paraId="5FE52386" w14:textId="4639D4CE" w:rsidR="00E74CAC" w:rsidRDefault="00E74CAC" w:rsidP="00B63588">
      <w:pPr>
        <w:rPr>
          <w:rFonts w:eastAsia="Calibri"/>
          <w:lang w:val="pl-PL"/>
        </w:rPr>
      </w:pPr>
    </w:p>
    <w:p w14:paraId="4C9A2A69" w14:textId="6AC99D56" w:rsidR="00DB0E0C" w:rsidRDefault="00E74CAC" w:rsidP="00B63588">
      <w:pPr>
        <w:rPr>
          <w:rFonts w:eastAsia="Calibri"/>
          <w:lang w:val="pl-PL"/>
        </w:rPr>
      </w:pPr>
      <w:r w:rsidRPr="00307122">
        <w:rPr>
          <w:rFonts w:eastAsia="Calibri"/>
          <w:sz w:val="18"/>
          <w:szCs w:val="18"/>
          <w:lang w:val="pl-PL"/>
        </w:rPr>
        <w:t>Źródło: Opracowanie własne EY na podstawie dyskusji z</w:t>
      </w:r>
      <w:r w:rsidR="003144C1">
        <w:rPr>
          <w:rFonts w:eastAsia="Calibri"/>
          <w:sz w:val="18"/>
          <w:szCs w:val="18"/>
          <w:lang w:val="pl-PL"/>
        </w:rPr>
        <w:t xml:space="preserve"> przedstawicielami</w:t>
      </w:r>
      <w:r w:rsidRPr="00307122">
        <w:rPr>
          <w:rFonts w:eastAsia="Calibri"/>
          <w:sz w:val="18"/>
          <w:szCs w:val="18"/>
          <w:lang w:val="pl-PL"/>
        </w:rPr>
        <w:t xml:space="preserve"> środowisk</w:t>
      </w:r>
      <w:r w:rsidR="003144C1">
        <w:rPr>
          <w:rFonts w:eastAsia="Calibri"/>
          <w:sz w:val="18"/>
          <w:szCs w:val="18"/>
          <w:lang w:val="pl-PL"/>
        </w:rPr>
        <w:t>a</w:t>
      </w:r>
      <w:r w:rsidRPr="00307122">
        <w:rPr>
          <w:rFonts w:eastAsia="Calibri"/>
          <w:sz w:val="18"/>
          <w:szCs w:val="18"/>
          <w:lang w:val="pl-PL"/>
        </w:rPr>
        <w:t xml:space="preserve"> nefrologiczn</w:t>
      </w:r>
      <w:r w:rsidR="003144C1">
        <w:rPr>
          <w:rFonts w:eastAsia="Calibri"/>
          <w:sz w:val="18"/>
          <w:szCs w:val="18"/>
          <w:lang w:val="pl-PL"/>
        </w:rPr>
        <w:t>ego</w:t>
      </w:r>
    </w:p>
    <w:p w14:paraId="40B88C93" w14:textId="67B021A6" w:rsidR="00B63588" w:rsidRDefault="00E01014" w:rsidP="00B63588">
      <w:pPr>
        <w:rPr>
          <w:rFonts w:eastAsia="Calibri"/>
          <w:lang w:val="pl-PL"/>
        </w:rPr>
      </w:pPr>
      <w:r>
        <w:rPr>
          <w:rFonts w:eastAsia="Calibri"/>
          <w:lang w:val="pl-PL"/>
        </w:rPr>
        <w:t>Przejęcie</w:t>
      </w:r>
      <w:r w:rsidR="00B63588">
        <w:rPr>
          <w:rFonts w:eastAsia="Calibri"/>
          <w:lang w:val="pl-PL"/>
        </w:rPr>
        <w:t xml:space="preserve"> odpowiedzialności za wyniki leczenia populacji</w:t>
      </w:r>
      <w:r>
        <w:rPr>
          <w:rFonts w:eastAsia="Calibri"/>
          <w:lang w:val="pl-PL"/>
        </w:rPr>
        <w:t xml:space="preserve"> </w:t>
      </w:r>
      <w:r w:rsidR="00E74CAC">
        <w:rPr>
          <w:rFonts w:eastAsia="Calibri"/>
          <w:lang w:val="pl-PL"/>
        </w:rPr>
        <w:t xml:space="preserve">pacjentów przed dializą </w:t>
      </w:r>
      <w:r w:rsidR="00B63588">
        <w:rPr>
          <w:rFonts w:eastAsia="Calibri"/>
          <w:lang w:val="pl-PL"/>
        </w:rPr>
        <w:t>moż</w:t>
      </w:r>
      <w:r>
        <w:rPr>
          <w:rFonts w:eastAsia="Calibri"/>
          <w:lang w:val="pl-PL"/>
        </w:rPr>
        <w:t xml:space="preserve">e </w:t>
      </w:r>
      <w:r w:rsidR="00B63588">
        <w:rPr>
          <w:rFonts w:eastAsia="Calibri"/>
          <w:lang w:val="pl-PL"/>
        </w:rPr>
        <w:t xml:space="preserve">wpłynąć na </w:t>
      </w:r>
      <w:r w:rsidR="00CB0D8E">
        <w:rPr>
          <w:rFonts w:eastAsia="Calibri"/>
          <w:lang w:val="pl-PL"/>
        </w:rPr>
        <w:t>rozpoczęcie leczenia nerkozastępczego</w:t>
      </w:r>
      <w:r w:rsidR="00E74CAC">
        <w:rPr>
          <w:rFonts w:eastAsia="Calibri"/>
          <w:lang w:val="pl-PL"/>
        </w:rPr>
        <w:t xml:space="preserve"> odpowiednio później i we właściwym momencie</w:t>
      </w:r>
      <w:r w:rsidR="00CB0D8E">
        <w:rPr>
          <w:rFonts w:eastAsia="Calibri"/>
          <w:lang w:val="pl-PL"/>
        </w:rPr>
        <w:t>, co z kolei może przyczynić się do mniejszej liczby powikłań.</w:t>
      </w:r>
    </w:p>
    <w:p w14:paraId="7FB983D7" w14:textId="77777777" w:rsidR="00E74CAC" w:rsidRDefault="00B63588" w:rsidP="00B63588">
      <w:pPr>
        <w:rPr>
          <w:rFonts w:eastAsia="Calibri"/>
          <w:lang w:val="pl-PL"/>
        </w:rPr>
      </w:pPr>
      <w:r>
        <w:rPr>
          <w:rFonts w:eastAsia="Calibri"/>
          <w:lang w:val="pl-PL"/>
        </w:rPr>
        <w:t>Objęcie opieką koordynowaną dodatkowej populacji pacjentów szacuje się na</w:t>
      </w:r>
      <w:r w:rsidR="00E74CAC">
        <w:rPr>
          <w:rFonts w:eastAsia="Calibri"/>
          <w:lang w:val="pl-PL"/>
        </w:rPr>
        <w:t>:</w:t>
      </w:r>
    </w:p>
    <w:p w14:paraId="31CEAF06" w14:textId="2CBE7ABC" w:rsidR="00E74CAC" w:rsidRPr="0082391E" w:rsidRDefault="00E74CAC" w:rsidP="00060165">
      <w:pPr>
        <w:pStyle w:val="EYBulletedList1"/>
        <w:numPr>
          <w:ilvl w:val="0"/>
          <w:numId w:val="11"/>
        </w:numPr>
        <w:jc w:val="both"/>
        <w:rPr>
          <w:rFonts w:eastAsia="Calibri"/>
          <w:lang w:val="pl-PL"/>
        </w:rPr>
      </w:pPr>
      <w:r w:rsidRPr="00060165">
        <w:rPr>
          <w:rFonts w:eastAsia="Calibri"/>
          <w:sz w:val="22"/>
          <w:lang w:val="pl-PL"/>
        </w:rPr>
        <w:t>65,5 MLN PLN w przypadku populacji pacjentów CKD 3b, CKD 4 i CKD 5</w:t>
      </w:r>
      <w:r w:rsidR="00926087">
        <w:rPr>
          <w:rFonts w:eastAsia="Calibri"/>
          <w:sz w:val="22"/>
          <w:lang w:val="pl-PL"/>
        </w:rPr>
        <w:t xml:space="preserve"> (moduł C1)</w:t>
      </w:r>
    </w:p>
    <w:p w14:paraId="611D4408" w14:textId="27B890DC" w:rsidR="00E74CAC" w:rsidRPr="0082391E" w:rsidRDefault="00E74CAC" w:rsidP="00060165">
      <w:pPr>
        <w:pStyle w:val="EYBulletedList1"/>
        <w:numPr>
          <w:ilvl w:val="0"/>
          <w:numId w:val="11"/>
        </w:numPr>
        <w:jc w:val="both"/>
        <w:rPr>
          <w:rFonts w:eastAsia="Calibri"/>
          <w:lang w:val="pl-PL"/>
        </w:rPr>
      </w:pPr>
      <w:r w:rsidRPr="00060165">
        <w:rPr>
          <w:rFonts w:eastAsia="Calibri"/>
          <w:sz w:val="22"/>
          <w:lang w:val="pl-PL"/>
        </w:rPr>
        <w:t>46,5 MLN PLN w przypadku populacji pacjentów CKD 4 i CKD 5</w:t>
      </w:r>
      <w:r w:rsidR="00926087">
        <w:rPr>
          <w:rFonts w:eastAsia="Calibri"/>
          <w:sz w:val="22"/>
          <w:lang w:val="pl-PL"/>
        </w:rPr>
        <w:t xml:space="preserve"> (moduł C2)</w:t>
      </w:r>
    </w:p>
    <w:p w14:paraId="02F5A98A" w14:textId="4CF9B0EB" w:rsidR="00B63588" w:rsidRPr="00D61427" w:rsidRDefault="00E74CAC" w:rsidP="00060165">
      <w:pPr>
        <w:pStyle w:val="EYBulletedList1"/>
        <w:numPr>
          <w:ilvl w:val="0"/>
          <w:numId w:val="11"/>
        </w:numPr>
        <w:jc w:val="both"/>
        <w:rPr>
          <w:rFonts w:eastAsia="Calibri"/>
          <w:lang w:val="pl-PL"/>
        </w:rPr>
      </w:pPr>
      <w:r w:rsidRPr="00060165">
        <w:rPr>
          <w:rFonts w:eastAsia="Calibri"/>
          <w:sz w:val="22"/>
          <w:lang w:val="pl-PL"/>
        </w:rPr>
        <w:t>34,3 MLN PLN w przypadku populacji pacjentów CKD 4 A3 i CKD 5</w:t>
      </w:r>
      <w:r w:rsidR="00926087">
        <w:rPr>
          <w:rFonts w:eastAsia="Calibri"/>
          <w:sz w:val="22"/>
          <w:lang w:val="pl-PL"/>
        </w:rPr>
        <w:t xml:space="preserve"> (moduł C3)</w:t>
      </w:r>
    </w:p>
    <w:p w14:paraId="2575C736" w14:textId="77777777" w:rsidR="005242E6" w:rsidRDefault="005242E6" w:rsidP="005242E6">
      <w:pPr>
        <w:pStyle w:val="EYHeading3"/>
        <w:rPr>
          <w:rFonts w:eastAsia="Calibri"/>
          <w:lang w:val="pl-PL"/>
        </w:rPr>
      </w:pPr>
      <w:bookmarkStart w:id="587" w:name="_Toc486537951"/>
      <w:r w:rsidRPr="005242E6">
        <w:rPr>
          <w:rFonts w:eastAsia="Calibri"/>
          <w:lang w:val="pl-PL"/>
        </w:rPr>
        <w:t>Podsumowanie</w:t>
      </w:r>
      <w:bookmarkEnd w:id="587"/>
    </w:p>
    <w:p w14:paraId="32681F50" w14:textId="77777777" w:rsidR="005F1565" w:rsidRDefault="005E4D43" w:rsidP="005F1565">
      <w:pPr>
        <w:rPr>
          <w:lang w:val="pl-PL"/>
        </w:rPr>
      </w:pPr>
      <w:r>
        <w:rPr>
          <w:lang w:val="pl-PL"/>
        </w:rPr>
        <w:t xml:space="preserve">Rozwój systemów ochrony zdrowia polega na ciągłym poszukiwaniu i doskonaleniu rozwiązań </w:t>
      </w:r>
      <w:r w:rsidR="005F1565">
        <w:rPr>
          <w:lang w:val="pl-PL"/>
        </w:rPr>
        <w:t>umożliwi</w:t>
      </w:r>
      <w:r>
        <w:rPr>
          <w:lang w:val="pl-PL"/>
        </w:rPr>
        <w:t>ających poprawę jakości i efektywności opieki</w:t>
      </w:r>
      <w:r w:rsidR="005F1565" w:rsidRPr="005F1565">
        <w:rPr>
          <w:lang w:val="pl-PL"/>
        </w:rPr>
        <w:t>.</w:t>
      </w:r>
      <w:r w:rsidR="00704833">
        <w:rPr>
          <w:lang w:val="pl-PL"/>
        </w:rPr>
        <w:t xml:space="preserve"> W opiece koordynowanej</w:t>
      </w:r>
      <w:r w:rsidR="005F1565" w:rsidRPr="005F1565">
        <w:rPr>
          <w:lang w:val="pl-PL"/>
        </w:rPr>
        <w:t xml:space="preserve"> zarządzanie opieką to umiejętne twor</w:t>
      </w:r>
      <w:r w:rsidR="00704833">
        <w:rPr>
          <w:lang w:val="pl-PL"/>
        </w:rPr>
        <w:t xml:space="preserve">zenie i wykorzystanie bodźców </w:t>
      </w:r>
      <w:r w:rsidR="005F1565" w:rsidRPr="005F1565">
        <w:rPr>
          <w:lang w:val="pl-PL"/>
        </w:rPr>
        <w:t>motyw</w:t>
      </w:r>
      <w:r>
        <w:rPr>
          <w:lang w:val="pl-PL"/>
        </w:rPr>
        <w:t>ujących</w:t>
      </w:r>
      <w:r w:rsidR="001344F4">
        <w:rPr>
          <w:lang w:val="pl-PL"/>
        </w:rPr>
        <w:t xml:space="preserve"> </w:t>
      </w:r>
      <w:r>
        <w:rPr>
          <w:lang w:val="pl-PL"/>
        </w:rPr>
        <w:t>świadczeniodawców</w:t>
      </w:r>
      <w:r w:rsidR="00704833">
        <w:rPr>
          <w:lang w:val="pl-PL"/>
        </w:rPr>
        <w:t xml:space="preserve"> do podejmowania działań </w:t>
      </w:r>
      <w:r w:rsidR="005F1565" w:rsidRPr="005F1565">
        <w:rPr>
          <w:lang w:val="pl-PL"/>
        </w:rPr>
        <w:t>optymalnych z punktu widzenia efektywności i jakości wytwarzanych usług</w:t>
      </w:r>
      <w:r w:rsidR="00704833" w:rsidRPr="00EC5D63">
        <w:rPr>
          <w:rStyle w:val="Odwoanieprzypisudolnego"/>
          <w:sz w:val="22"/>
          <w:lang w:val="pl-PL"/>
        </w:rPr>
        <w:footnoteReference w:id="79"/>
      </w:r>
      <w:r w:rsidR="005F1565" w:rsidRPr="005F1565">
        <w:rPr>
          <w:lang w:val="pl-PL"/>
        </w:rPr>
        <w:t>.</w:t>
      </w:r>
      <w:r w:rsidR="00704833">
        <w:rPr>
          <w:lang w:val="pl-PL"/>
        </w:rPr>
        <w:t xml:space="preserve"> Zaproponowane w niniejszym dokumencie rozwiązanie może przynieść wiele korzyści, które będą odczuwalne dla różnych interesariuszy.</w:t>
      </w:r>
    </w:p>
    <w:p w14:paraId="5F860F7C" w14:textId="77777777" w:rsidR="007F08C4" w:rsidRDefault="007F08C4" w:rsidP="007F08C4">
      <w:pPr>
        <w:rPr>
          <w:lang w:val="pl-PL"/>
        </w:rPr>
      </w:pPr>
      <w:r>
        <w:rPr>
          <w:lang w:val="pl-PL"/>
        </w:rPr>
        <w:t>Z perspektywy pacjenta kluczow</w:t>
      </w:r>
      <w:r w:rsidR="004B7260">
        <w:rPr>
          <w:lang w:val="pl-PL"/>
        </w:rPr>
        <w:t>ymi zaletami</w:t>
      </w:r>
      <w:r>
        <w:rPr>
          <w:lang w:val="pl-PL"/>
        </w:rPr>
        <w:t xml:space="preserve"> będą:</w:t>
      </w:r>
    </w:p>
    <w:p w14:paraId="350CF691" w14:textId="77777777" w:rsidR="007F08C4" w:rsidRPr="004E62AC" w:rsidRDefault="007F08C4" w:rsidP="007F08C4">
      <w:pPr>
        <w:pStyle w:val="EYBulletedList1"/>
        <w:numPr>
          <w:ilvl w:val="0"/>
          <w:numId w:val="11"/>
        </w:numPr>
        <w:jc w:val="both"/>
        <w:rPr>
          <w:rFonts w:eastAsia="Calibri"/>
          <w:lang w:val="pl-PL"/>
        </w:rPr>
      </w:pPr>
      <w:r w:rsidRPr="004E62AC">
        <w:rPr>
          <w:rFonts w:eastAsia="Calibri"/>
          <w:sz w:val="22"/>
          <w:lang w:val="pl-PL"/>
        </w:rPr>
        <w:t>Wyższa jakość leczenia, a więc lepsze wyniki</w:t>
      </w:r>
      <w:r>
        <w:rPr>
          <w:rFonts w:eastAsia="Calibri"/>
          <w:sz w:val="22"/>
          <w:lang w:val="pl-PL"/>
        </w:rPr>
        <w:t xml:space="preserve"> i lepsza jakość życia </w:t>
      </w:r>
    </w:p>
    <w:p w14:paraId="4D5BEF71" w14:textId="77777777" w:rsidR="007F08C4" w:rsidRDefault="007F08C4" w:rsidP="007F08C4">
      <w:pPr>
        <w:pStyle w:val="EYBulletedList1"/>
        <w:numPr>
          <w:ilvl w:val="0"/>
          <w:numId w:val="11"/>
        </w:numPr>
        <w:jc w:val="both"/>
        <w:rPr>
          <w:rFonts w:eastAsia="Calibri"/>
          <w:lang w:val="pl-PL"/>
        </w:rPr>
      </w:pPr>
      <w:r w:rsidRPr="004E62AC">
        <w:rPr>
          <w:rFonts w:eastAsia="Calibri"/>
          <w:sz w:val="22"/>
          <w:lang w:val="pl-PL"/>
        </w:rPr>
        <w:t xml:space="preserve">Możliwość wyboru miejsca leczenia w oparciu o wyniki </w:t>
      </w:r>
      <w:r w:rsidR="00AA6CF8">
        <w:rPr>
          <w:rFonts w:eastAsia="Calibri"/>
          <w:sz w:val="22"/>
          <w:lang w:val="pl-PL"/>
        </w:rPr>
        <w:t>raportowane</w:t>
      </w:r>
      <w:r w:rsidRPr="004E62AC">
        <w:rPr>
          <w:rFonts w:eastAsia="Calibri"/>
          <w:sz w:val="22"/>
          <w:lang w:val="pl-PL"/>
        </w:rPr>
        <w:t xml:space="preserve"> przez danę jednostkę</w:t>
      </w:r>
    </w:p>
    <w:p w14:paraId="5AFDA8ED" w14:textId="77777777" w:rsidR="004B7260" w:rsidRPr="000837CB" w:rsidRDefault="004B7260" w:rsidP="004B7260">
      <w:pPr>
        <w:pStyle w:val="EYBulletedList1"/>
        <w:numPr>
          <w:ilvl w:val="0"/>
          <w:numId w:val="11"/>
        </w:numPr>
        <w:jc w:val="both"/>
        <w:rPr>
          <w:rFonts w:eastAsia="Calibri"/>
          <w:sz w:val="22"/>
          <w:lang w:val="pl-PL"/>
        </w:rPr>
      </w:pPr>
      <w:r>
        <w:rPr>
          <w:rFonts w:eastAsia="Calibri"/>
          <w:sz w:val="22"/>
          <w:lang w:val="pl-PL"/>
        </w:rPr>
        <w:t>Mniejsze ryzyko powikłań dostępów naczyniowych i otrzewnowych</w:t>
      </w:r>
    </w:p>
    <w:p w14:paraId="504674FF" w14:textId="77777777" w:rsidR="004B7260" w:rsidRPr="000837CB" w:rsidRDefault="004B7260" w:rsidP="004B7260">
      <w:pPr>
        <w:pStyle w:val="EYBulletedList1"/>
        <w:numPr>
          <w:ilvl w:val="0"/>
          <w:numId w:val="11"/>
        </w:numPr>
        <w:jc w:val="both"/>
        <w:rPr>
          <w:rFonts w:eastAsia="Calibri"/>
          <w:sz w:val="22"/>
          <w:lang w:val="pl-PL"/>
        </w:rPr>
      </w:pPr>
      <w:r>
        <w:rPr>
          <w:rFonts w:eastAsia="Calibri"/>
          <w:sz w:val="22"/>
          <w:lang w:val="pl-PL"/>
        </w:rPr>
        <w:t>P</w:t>
      </w:r>
      <w:r w:rsidRPr="000837CB">
        <w:rPr>
          <w:rFonts w:eastAsia="Calibri"/>
          <w:sz w:val="22"/>
          <w:lang w:val="pl-PL"/>
        </w:rPr>
        <w:t>odniesienie wygody pacjentów m.in. w dostępie do lekarza specjalisty</w:t>
      </w:r>
    </w:p>
    <w:p w14:paraId="3A033FDE" w14:textId="77777777" w:rsidR="007F08C4" w:rsidRDefault="007F08C4" w:rsidP="007F08C4">
      <w:pPr>
        <w:pStyle w:val="EYBulletedList1"/>
        <w:numPr>
          <w:ilvl w:val="0"/>
          <w:numId w:val="0"/>
        </w:numPr>
        <w:jc w:val="both"/>
        <w:rPr>
          <w:rFonts w:eastAsia="Calibri"/>
          <w:lang w:val="pl-PL"/>
        </w:rPr>
      </w:pPr>
      <w:r>
        <w:rPr>
          <w:rFonts w:eastAsia="Calibri"/>
          <w:sz w:val="22"/>
          <w:lang w:val="pl-PL"/>
        </w:rPr>
        <w:t>Z perspektywy płatnika i regulatora kluczowymi zaletami będą:</w:t>
      </w:r>
    </w:p>
    <w:p w14:paraId="29B5EA56" w14:textId="77777777" w:rsidR="007F08C4" w:rsidRDefault="007F08C4" w:rsidP="007F08C4">
      <w:pPr>
        <w:pStyle w:val="EYBulletedList1"/>
        <w:numPr>
          <w:ilvl w:val="0"/>
          <w:numId w:val="11"/>
        </w:numPr>
        <w:jc w:val="both"/>
        <w:rPr>
          <w:rFonts w:eastAsia="Calibri"/>
          <w:lang w:val="pl-PL"/>
        </w:rPr>
      </w:pPr>
      <w:r>
        <w:rPr>
          <w:rFonts w:eastAsia="Calibri"/>
          <w:sz w:val="22"/>
          <w:lang w:val="pl-PL"/>
        </w:rPr>
        <w:t>Przekazanie odpowiedzialności za wy</w:t>
      </w:r>
      <w:r w:rsidR="00704833">
        <w:rPr>
          <w:rFonts w:eastAsia="Calibri"/>
          <w:sz w:val="22"/>
          <w:lang w:val="pl-PL"/>
        </w:rPr>
        <w:t>niki leczenia jednemu podmiotowi (jednostce koordynującej)</w:t>
      </w:r>
    </w:p>
    <w:p w14:paraId="42EBB20B" w14:textId="77777777" w:rsidR="007F08C4" w:rsidRDefault="007F08C4" w:rsidP="007F08C4">
      <w:pPr>
        <w:pStyle w:val="EYBulletedList1"/>
        <w:numPr>
          <w:ilvl w:val="0"/>
          <w:numId w:val="11"/>
        </w:numPr>
        <w:jc w:val="both"/>
        <w:rPr>
          <w:rFonts w:eastAsia="Calibri"/>
          <w:lang w:val="pl-PL"/>
        </w:rPr>
      </w:pPr>
      <w:r>
        <w:rPr>
          <w:rFonts w:eastAsia="Calibri"/>
          <w:sz w:val="22"/>
          <w:lang w:val="pl-PL"/>
        </w:rPr>
        <w:lastRenderedPageBreak/>
        <w:t>Przeniesienie ryzyka związanego z wynikami leczenia na jednostki koordynujące</w:t>
      </w:r>
    </w:p>
    <w:p w14:paraId="671A30CD" w14:textId="77777777" w:rsidR="007F08C4" w:rsidRDefault="007F08C4" w:rsidP="007F08C4">
      <w:pPr>
        <w:pStyle w:val="EYBulletedList1"/>
        <w:numPr>
          <w:ilvl w:val="0"/>
          <w:numId w:val="11"/>
        </w:numPr>
        <w:jc w:val="both"/>
        <w:rPr>
          <w:rFonts w:eastAsia="Calibri"/>
          <w:lang w:val="pl-PL"/>
        </w:rPr>
      </w:pPr>
      <w:r>
        <w:rPr>
          <w:rFonts w:eastAsia="Calibri"/>
          <w:sz w:val="22"/>
          <w:lang w:val="pl-PL"/>
        </w:rPr>
        <w:t>Zapewnienie przejrzystości poprzez umożliwienie porównywania wyników między jednostkami koordynującymi</w:t>
      </w:r>
    </w:p>
    <w:p w14:paraId="0E80DBBB" w14:textId="77777777" w:rsidR="007F08C4" w:rsidRDefault="007F08C4" w:rsidP="007F08C4">
      <w:pPr>
        <w:pStyle w:val="EYBulletedList1"/>
        <w:numPr>
          <w:ilvl w:val="0"/>
          <w:numId w:val="11"/>
        </w:numPr>
        <w:jc w:val="both"/>
        <w:rPr>
          <w:rFonts w:eastAsia="Calibri"/>
          <w:lang w:val="pl-PL"/>
        </w:rPr>
      </w:pPr>
      <w:r>
        <w:rPr>
          <w:rFonts w:eastAsia="Calibri"/>
          <w:sz w:val="22"/>
          <w:lang w:val="pl-PL"/>
        </w:rPr>
        <w:t>Promowanie współpracy pomiędzy interesariuszami</w:t>
      </w:r>
    </w:p>
    <w:p w14:paraId="007A5FCB" w14:textId="77777777" w:rsidR="007F08C4" w:rsidRDefault="007F08C4" w:rsidP="007F08C4">
      <w:pPr>
        <w:pStyle w:val="EYBulletedList1"/>
        <w:numPr>
          <w:ilvl w:val="0"/>
          <w:numId w:val="0"/>
        </w:numPr>
        <w:jc w:val="both"/>
        <w:rPr>
          <w:rFonts w:eastAsia="Calibri"/>
          <w:lang w:val="pl-PL"/>
        </w:rPr>
      </w:pPr>
      <w:r>
        <w:rPr>
          <w:rFonts w:eastAsia="Calibri"/>
          <w:sz w:val="22"/>
          <w:lang w:val="pl-PL"/>
        </w:rPr>
        <w:t>Z perspektywy świadczeniodawcy kluczowymi zaletami będą:</w:t>
      </w:r>
    </w:p>
    <w:p w14:paraId="71B98D77" w14:textId="77777777" w:rsidR="007F08C4" w:rsidRPr="00FF3A4A" w:rsidRDefault="007F08C4" w:rsidP="007F08C4">
      <w:pPr>
        <w:pStyle w:val="EYBulletedList1"/>
        <w:numPr>
          <w:ilvl w:val="0"/>
          <w:numId w:val="11"/>
        </w:numPr>
        <w:jc w:val="both"/>
        <w:rPr>
          <w:rFonts w:eastAsia="Calibri"/>
          <w:lang w:val="pl-PL"/>
        </w:rPr>
      </w:pPr>
      <w:r w:rsidRPr="004E62AC">
        <w:rPr>
          <w:rFonts w:eastAsia="Calibri"/>
          <w:sz w:val="22"/>
          <w:lang w:val="pl-PL"/>
        </w:rPr>
        <w:t>Istotna poprawa organizacyjna opieki</w:t>
      </w:r>
    </w:p>
    <w:p w14:paraId="7674FA33" w14:textId="77777777" w:rsidR="007F08C4" w:rsidRPr="004B7260" w:rsidRDefault="007F08C4" w:rsidP="007F08C4">
      <w:pPr>
        <w:pStyle w:val="EYBulletedList1"/>
        <w:numPr>
          <w:ilvl w:val="0"/>
          <w:numId w:val="11"/>
        </w:numPr>
        <w:jc w:val="both"/>
        <w:rPr>
          <w:rFonts w:eastAsia="Calibri"/>
          <w:lang w:val="pl-PL"/>
        </w:rPr>
      </w:pPr>
      <w:r>
        <w:rPr>
          <w:rFonts w:eastAsia="Calibri"/>
          <w:sz w:val="22"/>
          <w:lang w:val="pl-PL"/>
        </w:rPr>
        <w:t>Nadanie odpowiedzialności za wyniki leczenia</w:t>
      </w:r>
    </w:p>
    <w:p w14:paraId="00AF7888" w14:textId="77777777" w:rsidR="004B7260" w:rsidRDefault="00704833" w:rsidP="007F08C4">
      <w:pPr>
        <w:pStyle w:val="EYBulletedList1"/>
        <w:numPr>
          <w:ilvl w:val="0"/>
          <w:numId w:val="11"/>
        </w:numPr>
        <w:jc w:val="both"/>
        <w:rPr>
          <w:rFonts w:eastAsia="Calibri"/>
          <w:lang w:val="pl-PL"/>
        </w:rPr>
      </w:pPr>
      <w:r>
        <w:rPr>
          <w:rFonts w:eastAsia="Calibri"/>
          <w:sz w:val="22"/>
          <w:lang w:val="pl-PL"/>
        </w:rPr>
        <w:t>Większa s</w:t>
      </w:r>
      <w:r w:rsidR="004B7260">
        <w:rPr>
          <w:rFonts w:eastAsia="Calibri"/>
          <w:sz w:val="22"/>
          <w:lang w:val="pl-PL"/>
        </w:rPr>
        <w:t>woboda w wyborze terapii</w:t>
      </w:r>
    </w:p>
    <w:p w14:paraId="66AFB293" w14:textId="77777777" w:rsidR="007F08C4" w:rsidRDefault="007F08C4" w:rsidP="007F08C4">
      <w:pPr>
        <w:pStyle w:val="EYBulletedList1"/>
        <w:numPr>
          <w:ilvl w:val="0"/>
          <w:numId w:val="11"/>
        </w:numPr>
        <w:jc w:val="both"/>
        <w:rPr>
          <w:rFonts w:eastAsia="Calibri"/>
          <w:lang w:val="pl-PL"/>
        </w:rPr>
      </w:pPr>
      <w:r>
        <w:rPr>
          <w:rFonts w:eastAsia="Calibri"/>
          <w:sz w:val="22"/>
          <w:lang w:val="pl-PL"/>
        </w:rPr>
        <w:t>Promowanie jakości</w:t>
      </w:r>
    </w:p>
    <w:p w14:paraId="7D62A1F1" w14:textId="77777777" w:rsidR="004B7260" w:rsidRPr="004B7260" w:rsidRDefault="007F08C4" w:rsidP="004B7260">
      <w:pPr>
        <w:pStyle w:val="EYBulletedList1"/>
        <w:numPr>
          <w:ilvl w:val="0"/>
          <w:numId w:val="11"/>
        </w:numPr>
        <w:jc w:val="both"/>
        <w:rPr>
          <w:rFonts w:eastAsia="Calibri"/>
          <w:lang w:val="pl-PL"/>
        </w:rPr>
      </w:pPr>
      <w:r>
        <w:rPr>
          <w:rFonts w:eastAsia="Calibri"/>
          <w:sz w:val="22"/>
          <w:lang w:val="pl-PL"/>
        </w:rPr>
        <w:t>Jasno zdefiniowane wskaźniki</w:t>
      </w:r>
    </w:p>
    <w:p w14:paraId="4BEB9F79" w14:textId="77777777" w:rsidR="007F08C4" w:rsidRPr="004B7260" w:rsidRDefault="007F08C4" w:rsidP="004B7260">
      <w:pPr>
        <w:pStyle w:val="EYBulletedList1"/>
        <w:numPr>
          <w:ilvl w:val="0"/>
          <w:numId w:val="11"/>
        </w:numPr>
        <w:jc w:val="both"/>
        <w:rPr>
          <w:rFonts w:eastAsia="Calibri"/>
          <w:lang w:val="pl-PL"/>
        </w:rPr>
      </w:pPr>
      <w:r w:rsidRPr="004B7260">
        <w:rPr>
          <w:rFonts w:eastAsia="Calibri"/>
          <w:sz w:val="22"/>
          <w:lang w:val="pl-PL"/>
        </w:rPr>
        <w:t>Promowanie współpracy pomiędzy interesariuszami</w:t>
      </w:r>
    </w:p>
    <w:p w14:paraId="2951C7CA" w14:textId="44C49772" w:rsidR="00A20B6D" w:rsidRDefault="00A20B6D" w:rsidP="007254A8">
      <w:pPr>
        <w:pStyle w:val="Legenda"/>
        <w:keepNext/>
        <w:rPr>
          <w:rFonts w:eastAsia="Calibri"/>
          <w:i w:val="0"/>
          <w:iCs w:val="0"/>
          <w:color w:val="auto"/>
          <w:sz w:val="22"/>
          <w:szCs w:val="20"/>
          <w:lang w:val="pl-PL"/>
        </w:rPr>
      </w:pPr>
      <w:r>
        <w:rPr>
          <w:rFonts w:eastAsia="Calibri"/>
          <w:i w:val="0"/>
          <w:iCs w:val="0"/>
          <w:color w:val="auto"/>
          <w:sz w:val="22"/>
          <w:szCs w:val="20"/>
          <w:lang w:val="pl-PL"/>
        </w:rPr>
        <w:t xml:space="preserve">W poniższej tabeli przedstawiono główne korzyści i wpływ na budżet płatnika związany z </w:t>
      </w:r>
      <w:r w:rsidR="00704833">
        <w:rPr>
          <w:rFonts w:eastAsia="Calibri"/>
          <w:i w:val="0"/>
          <w:iCs w:val="0"/>
          <w:color w:val="auto"/>
          <w:sz w:val="22"/>
          <w:szCs w:val="20"/>
          <w:lang w:val="pl-PL"/>
        </w:rPr>
        <w:t xml:space="preserve">poszczególnymi </w:t>
      </w:r>
      <w:r w:rsidR="003C7D89">
        <w:rPr>
          <w:rFonts w:eastAsia="Calibri"/>
          <w:i w:val="0"/>
          <w:iCs w:val="0"/>
          <w:color w:val="auto"/>
          <w:sz w:val="22"/>
          <w:szCs w:val="20"/>
          <w:lang w:val="pl-PL"/>
        </w:rPr>
        <w:t xml:space="preserve">modułami </w:t>
      </w:r>
      <w:r>
        <w:rPr>
          <w:rFonts w:eastAsia="Calibri"/>
          <w:i w:val="0"/>
          <w:iCs w:val="0"/>
          <w:color w:val="auto"/>
          <w:sz w:val="22"/>
          <w:szCs w:val="20"/>
          <w:lang w:val="pl-PL"/>
        </w:rPr>
        <w:t>modelu opieki koordynowanej</w:t>
      </w:r>
      <w:r w:rsidR="003C7D89">
        <w:rPr>
          <w:rFonts w:eastAsia="Calibri"/>
          <w:i w:val="0"/>
          <w:iCs w:val="0"/>
          <w:color w:val="auto"/>
          <w:sz w:val="22"/>
          <w:szCs w:val="20"/>
          <w:lang w:val="pl-PL"/>
        </w:rPr>
        <w:t xml:space="preserve"> oraz scenariuszami populacyjnymi pacjentów w okresie przed dializą, którzy mogliby zostać objęci opieką.</w:t>
      </w:r>
    </w:p>
    <w:p w14:paraId="416A5A43" w14:textId="1FEED4BF" w:rsidR="007254A8" w:rsidRPr="007254A8" w:rsidRDefault="007254A8" w:rsidP="007254A8">
      <w:pPr>
        <w:pStyle w:val="Legenda"/>
        <w:keepNext/>
        <w:rPr>
          <w:b/>
          <w:i w:val="0"/>
          <w:color w:val="auto"/>
          <w:lang w:val="pl-PL"/>
        </w:rPr>
      </w:pPr>
      <w:bookmarkStart w:id="588" w:name="_Toc486537988"/>
      <w:r w:rsidRPr="007254A8">
        <w:rPr>
          <w:b/>
          <w:i w:val="0"/>
          <w:color w:val="auto"/>
          <w:lang w:val="pl-PL"/>
        </w:rPr>
        <w:t xml:space="preserve">Tabela </w:t>
      </w:r>
      <w:r w:rsidRPr="007254A8">
        <w:rPr>
          <w:b/>
          <w:i w:val="0"/>
          <w:color w:val="auto"/>
          <w:lang w:val="pl-PL"/>
        </w:rPr>
        <w:fldChar w:fldCharType="begin"/>
      </w:r>
      <w:r w:rsidRPr="007254A8">
        <w:rPr>
          <w:b/>
          <w:i w:val="0"/>
          <w:color w:val="auto"/>
          <w:lang w:val="pl-PL"/>
        </w:rPr>
        <w:instrText xml:space="preserve"> SEQ Tabela \* ARABIC </w:instrText>
      </w:r>
      <w:r w:rsidRPr="007254A8">
        <w:rPr>
          <w:b/>
          <w:i w:val="0"/>
          <w:color w:val="auto"/>
          <w:lang w:val="pl-PL"/>
        </w:rPr>
        <w:fldChar w:fldCharType="separate"/>
      </w:r>
      <w:r w:rsidR="005C7285">
        <w:rPr>
          <w:b/>
          <w:i w:val="0"/>
          <w:noProof/>
          <w:color w:val="auto"/>
          <w:lang w:val="pl-PL"/>
        </w:rPr>
        <w:t>25</w:t>
      </w:r>
      <w:r w:rsidRPr="007254A8">
        <w:rPr>
          <w:b/>
          <w:i w:val="0"/>
          <w:color w:val="auto"/>
          <w:lang w:val="pl-PL"/>
        </w:rPr>
        <w:fldChar w:fldCharType="end"/>
      </w:r>
      <w:r w:rsidRPr="007254A8">
        <w:rPr>
          <w:b/>
          <w:i w:val="0"/>
          <w:color w:val="auto"/>
          <w:lang w:val="pl-PL"/>
        </w:rPr>
        <w:t xml:space="preserve"> Analiza </w:t>
      </w:r>
      <w:r w:rsidR="00C81BF3">
        <w:rPr>
          <w:b/>
          <w:i w:val="0"/>
          <w:color w:val="auto"/>
          <w:lang w:val="pl-PL"/>
        </w:rPr>
        <w:t>kosztów poszczególnych modułów</w:t>
      </w:r>
      <w:r w:rsidRPr="007254A8">
        <w:rPr>
          <w:b/>
          <w:i w:val="0"/>
          <w:color w:val="auto"/>
          <w:lang w:val="pl-PL"/>
        </w:rPr>
        <w:t xml:space="preserve"> modelu opieki koordynowanej nad pacjentem dializowanym</w:t>
      </w:r>
      <w:r w:rsidR="00C81BF3">
        <w:rPr>
          <w:b/>
          <w:i w:val="0"/>
          <w:color w:val="auto"/>
          <w:lang w:val="pl-PL"/>
        </w:rPr>
        <w:t xml:space="preserve"> oraz scenariuszy populacyjnych</w:t>
      </w:r>
      <w:bookmarkEnd w:id="588"/>
    </w:p>
    <w:tbl>
      <w:tblPr>
        <w:tblStyle w:val="PlainTable51"/>
        <w:tblW w:w="9072" w:type="dxa"/>
        <w:tblLook w:val="04A0" w:firstRow="1" w:lastRow="0" w:firstColumn="1" w:lastColumn="0" w:noHBand="0" w:noVBand="1"/>
      </w:tblPr>
      <w:tblGrid>
        <w:gridCol w:w="4536"/>
        <w:gridCol w:w="2268"/>
        <w:gridCol w:w="2268"/>
      </w:tblGrid>
      <w:tr w:rsidR="00D272B8" w:rsidRPr="003C7D89" w14:paraId="018A7CB5" w14:textId="77777777" w:rsidTr="007C21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6" w:type="dxa"/>
            <w:tcBorders>
              <w:bottom w:val="single" w:sz="4" w:space="0" w:color="808080" w:themeColor="background1" w:themeShade="80"/>
              <w:right w:val="single" w:sz="4" w:space="0" w:color="808080" w:themeColor="background1" w:themeShade="80"/>
            </w:tcBorders>
            <w:shd w:val="clear" w:color="auto" w:fill="FFE600"/>
            <w:vAlign w:val="center"/>
          </w:tcPr>
          <w:p w14:paraId="281599ED" w14:textId="77777777" w:rsidR="00D272B8" w:rsidRDefault="008C32D8" w:rsidP="00A2247A">
            <w:pPr>
              <w:jc w:val="left"/>
              <w:rPr>
                <w:rFonts w:eastAsia="Calibri"/>
                <w:b/>
                <w:i w:val="0"/>
                <w:sz w:val="18"/>
                <w:szCs w:val="18"/>
                <w:lang w:val="pl-PL"/>
              </w:rPr>
            </w:pPr>
            <w:r>
              <w:rPr>
                <w:b/>
                <w:i w:val="0"/>
                <w:sz w:val="18"/>
                <w:szCs w:val="18"/>
                <w:lang w:val="pl-PL"/>
              </w:rPr>
              <w:t>Scenariusze</w:t>
            </w:r>
          </w:p>
          <w:p w14:paraId="5FBEEDEA" w14:textId="77777777" w:rsidR="007C21AC" w:rsidRPr="0023254B" w:rsidRDefault="007C21AC" w:rsidP="00A2247A">
            <w:pPr>
              <w:jc w:val="left"/>
              <w:rPr>
                <w:rFonts w:eastAsia="Calibri"/>
                <w:b/>
                <w:i w:val="0"/>
                <w:sz w:val="18"/>
                <w:szCs w:val="18"/>
                <w:lang w:val="pl-PL"/>
              </w:rPr>
            </w:pPr>
            <w:r>
              <w:rPr>
                <w:rFonts w:eastAsia="Calibri"/>
                <w:b/>
                <w:i w:val="0"/>
                <w:sz w:val="18"/>
                <w:szCs w:val="18"/>
                <w:lang w:val="pl-PL"/>
              </w:rPr>
              <w:t xml:space="preserve">- </w:t>
            </w:r>
            <w:r w:rsidR="00D272B8" w:rsidRPr="0023254B">
              <w:rPr>
                <w:rFonts w:eastAsia="Calibri"/>
                <w:b/>
                <w:i w:val="0"/>
                <w:sz w:val="18"/>
                <w:szCs w:val="18"/>
                <w:lang w:val="pl-PL"/>
              </w:rPr>
              <w:t>główne założenia zakresu zmian</w:t>
            </w:r>
          </w:p>
        </w:tc>
        <w:tc>
          <w:tcPr>
            <w:tcW w:w="2268"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E600"/>
            <w:vAlign w:val="center"/>
          </w:tcPr>
          <w:p w14:paraId="3ABA1B86" w14:textId="000312FD" w:rsidR="00D272B8" w:rsidRPr="0023254B" w:rsidRDefault="00EA3DA5" w:rsidP="00EA3DA5">
            <w:pPr>
              <w:jc w:val="center"/>
              <w:cnfStyle w:val="100000000000" w:firstRow="1" w:lastRow="0" w:firstColumn="0" w:lastColumn="0" w:oddVBand="0" w:evenVBand="0" w:oddHBand="0" w:evenHBand="0" w:firstRowFirstColumn="0" w:firstRowLastColumn="0" w:lastRowFirstColumn="0" w:lastRowLastColumn="0"/>
              <w:rPr>
                <w:rFonts w:eastAsia="Calibri"/>
                <w:b/>
                <w:i w:val="0"/>
                <w:sz w:val="18"/>
                <w:szCs w:val="18"/>
                <w:lang w:val="pl-PL"/>
              </w:rPr>
            </w:pPr>
            <w:r>
              <w:rPr>
                <w:rFonts w:eastAsia="Calibri"/>
                <w:b/>
                <w:i w:val="0"/>
                <w:sz w:val="18"/>
                <w:szCs w:val="18"/>
                <w:lang w:val="pl-PL"/>
              </w:rPr>
              <w:t>K</w:t>
            </w:r>
            <w:r w:rsidRPr="0023254B">
              <w:rPr>
                <w:rFonts w:eastAsia="Calibri"/>
                <w:b/>
                <w:i w:val="0"/>
                <w:sz w:val="18"/>
                <w:szCs w:val="18"/>
                <w:lang w:val="pl-PL"/>
              </w:rPr>
              <w:t xml:space="preserve">orzyści </w:t>
            </w:r>
            <w:r w:rsidR="003C7D89">
              <w:rPr>
                <w:rFonts w:eastAsia="Calibri"/>
                <w:b/>
                <w:i w:val="0"/>
                <w:sz w:val="18"/>
                <w:szCs w:val="18"/>
                <w:lang w:val="pl-PL"/>
              </w:rPr>
              <w:br/>
            </w:r>
            <w:r w:rsidRPr="0023254B">
              <w:rPr>
                <w:rFonts w:eastAsia="Calibri"/>
                <w:b/>
                <w:i w:val="0"/>
                <w:sz w:val="18"/>
                <w:szCs w:val="18"/>
                <w:lang w:val="pl-PL"/>
              </w:rPr>
              <w:t>z wprowadzenia opieki koordynowanej</w:t>
            </w:r>
          </w:p>
        </w:tc>
        <w:tc>
          <w:tcPr>
            <w:tcW w:w="2268" w:type="dxa"/>
            <w:tcBorders>
              <w:left w:val="single" w:sz="4" w:space="0" w:color="808080" w:themeColor="background1" w:themeShade="80"/>
              <w:bottom w:val="single" w:sz="4" w:space="0" w:color="808080" w:themeColor="background1" w:themeShade="80"/>
            </w:tcBorders>
            <w:shd w:val="clear" w:color="auto" w:fill="FFE600"/>
            <w:vAlign w:val="center"/>
          </w:tcPr>
          <w:p w14:paraId="10BEC4A4" w14:textId="77777777" w:rsidR="00D272B8" w:rsidRPr="0023254B" w:rsidRDefault="00EA3DA5" w:rsidP="00EA3DA5">
            <w:pPr>
              <w:jc w:val="center"/>
              <w:cnfStyle w:val="100000000000" w:firstRow="1" w:lastRow="0" w:firstColumn="0" w:lastColumn="0" w:oddVBand="0" w:evenVBand="0" w:oddHBand="0" w:evenHBand="0" w:firstRowFirstColumn="0" w:firstRowLastColumn="0" w:lastRowFirstColumn="0" w:lastRowLastColumn="0"/>
              <w:rPr>
                <w:rFonts w:eastAsia="Calibri"/>
                <w:b/>
                <w:iCs w:val="0"/>
                <w:sz w:val="18"/>
                <w:szCs w:val="18"/>
                <w:lang w:val="pl-PL"/>
              </w:rPr>
            </w:pPr>
            <w:r>
              <w:rPr>
                <w:rFonts w:eastAsia="Calibri"/>
                <w:b/>
                <w:i w:val="0"/>
                <w:sz w:val="18"/>
                <w:szCs w:val="18"/>
                <w:lang w:val="pl-PL"/>
              </w:rPr>
              <w:t>Wpływ na budżet płatnika</w:t>
            </w:r>
          </w:p>
        </w:tc>
      </w:tr>
      <w:tr w:rsidR="00D272B8" w:rsidRPr="00D4155A" w14:paraId="3591B486" w14:textId="77777777" w:rsidTr="007C21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57" w:type="dxa"/>
              <w:left w:w="57" w:type="dxa"/>
              <w:bottom w:w="57" w:type="dxa"/>
              <w:right w:w="57" w:type="dxa"/>
            </w:tcMar>
          </w:tcPr>
          <w:p w14:paraId="38DED6EA" w14:textId="58376806" w:rsidR="00D272B8" w:rsidRPr="0023254B" w:rsidRDefault="00B439CC" w:rsidP="006A636F">
            <w:pPr>
              <w:jc w:val="left"/>
              <w:rPr>
                <w:rFonts w:eastAsia="Calibri"/>
                <w:b/>
                <w:i w:val="0"/>
                <w:sz w:val="18"/>
                <w:szCs w:val="18"/>
                <w:lang w:val="pl-PL"/>
              </w:rPr>
            </w:pPr>
            <w:r>
              <w:rPr>
                <w:rFonts w:eastAsia="Calibri"/>
                <w:b/>
                <w:i w:val="0"/>
                <w:sz w:val="18"/>
                <w:szCs w:val="18"/>
                <w:lang w:val="pl-PL"/>
              </w:rPr>
              <w:t>MODUŁ A</w:t>
            </w:r>
            <w:r w:rsidR="00D4155A">
              <w:rPr>
                <w:rFonts w:eastAsia="Calibri"/>
                <w:b/>
                <w:i w:val="0"/>
                <w:sz w:val="18"/>
                <w:szCs w:val="18"/>
                <w:lang w:val="pl-PL"/>
              </w:rPr>
              <w:t xml:space="preserve"> / MODUŁ AA</w:t>
            </w:r>
          </w:p>
          <w:p w14:paraId="57E79A76" w14:textId="77777777" w:rsidR="00D272B8" w:rsidRPr="0023254B" w:rsidRDefault="00E56213" w:rsidP="006A636F">
            <w:pPr>
              <w:jc w:val="left"/>
              <w:rPr>
                <w:rFonts w:eastAsia="Calibri"/>
                <w:i w:val="0"/>
                <w:sz w:val="18"/>
                <w:szCs w:val="18"/>
                <w:lang w:val="pl-PL"/>
              </w:rPr>
            </w:pPr>
            <w:r>
              <w:rPr>
                <w:rFonts w:eastAsia="Calibri"/>
                <w:b/>
                <w:i w:val="0"/>
                <w:sz w:val="18"/>
                <w:szCs w:val="18"/>
                <w:lang w:val="pl-PL"/>
              </w:rPr>
              <w:t>Opieka koordynowana</w:t>
            </w:r>
          </w:p>
          <w:p w14:paraId="6B1D82CC"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i w:val="0"/>
                <w:sz w:val="18"/>
                <w:szCs w:val="18"/>
                <w:lang w:val="pl-PL"/>
              </w:rPr>
            </w:pPr>
            <w:r w:rsidRPr="007C21AC">
              <w:rPr>
                <w:rFonts w:eastAsia="Times New Roman"/>
                <w:i w:val="0"/>
                <w:sz w:val="18"/>
                <w:szCs w:val="18"/>
                <w:lang w:val="pl-PL"/>
              </w:rPr>
              <w:t>Scalenie ról poradni nefrologicznych i stacji dializ – wprowadzenie jednostek koordynujących</w:t>
            </w:r>
          </w:p>
          <w:p w14:paraId="662FB575"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i w:val="0"/>
                <w:sz w:val="18"/>
                <w:szCs w:val="18"/>
                <w:lang w:val="pl-PL"/>
              </w:rPr>
            </w:pPr>
            <w:r w:rsidRPr="007C21AC">
              <w:rPr>
                <w:rFonts w:eastAsia="Times New Roman"/>
                <w:i w:val="0"/>
                <w:sz w:val="18"/>
                <w:szCs w:val="18"/>
                <w:lang w:val="pl-PL"/>
              </w:rPr>
              <w:t>Wprowadzenie roli koordynatora pacjentów dializowanych</w:t>
            </w:r>
          </w:p>
          <w:p w14:paraId="4F513254"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i w:val="0"/>
                <w:sz w:val="18"/>
                <w:szCs w:val="18"/>
                <w:lang w:val="pl-PL"/>
              </w:rPr>
            </w:pPr>
            <w:r w:rsidRPr="007C21AC">
              <w:rPr>
                <w:rFonts w:eastAsia="Times New Roman"/>
                <w:i w:val="0"/>
                <w:sz w:val="18"/>
                <w:szCs w:val="18"/>
                <w:lang w:val="pl-PL"/>
              </w:rPr>
              <w:t xml:space="preserve">Przekazanie odpowiedzialności za wyniki leczenia </w:t>
            </w:r>
            <w:r w:rsidR="00D272B8" w:rsidRPr="007C21AC">
              <w:rPr>
                <w:rFonts w:eastAsia="Times New Roman"/>
                <w:i w:val="0"/>
                <w:sz w:val="18"/>
                <w:szCs w:val="18"/>
                <w:lang w:val="pl-PL"/>
              </w:rPr>
              <w:t>pacjentów dializowanych jednostkom koordynującym</w:t>
            </w:r>
          </w:p>
          <w:p w14:paraId="79049EC6" w14:textId="77777777" w:rsidR="00D272B8" w:rsidRPr="0023254B" w:rsidRDefault="006E6AFD" w:rsidP="007C21AC">
            <w:pPr>
              <w:pStyle w:val="EYBulletedList1"/>
              <w:numPr>
                <w:ilvl w:val="0"/>
                <w:numId w:val="11"/>
              </w:numPr>
              <w:spacing w:beforeLines="20" w:before="48" w:afterLines="20" w:after="48"/>
              <w:ind w:left="289" w:hanging="289"/>
              <w:jc w:val="left"/>
              <w:rPr>
                <w:rFonts w:eastAsia="Calibri"/>
                <w:i w:val="0"/>
                <w:sz w:val="18"/>
                <w:szCs w:val="18"/>
                <w:lang w:val="pl-PL"/>
              </w:rPr>
            </w:pPr>
            <w:r w:rsidRPr="007C21AC">
              <w:rPr>
                <w:rFonts w:eastAsia="Times New Roman"/>
                <w:i w:val="0"/>
                <w:sz w:val="18"/>
                <w:szCs w:val="18"/>
                <w:lang w:val="pl-PL"/>
              </w:rPr>
              <w:t>Przekazanie finansowania ze środków publicznych jednostkom koordynującym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57" w:type="dxa"/>
              <w:left w:w="57" w:type="dxa"/>
              <w:bottom w:w="57" w:type="dxa"/>
              <w:right w:w="57" w:type="dxa"/>
            </w:tcMar>
          </w:tcPr>
          <w:p w14:paraId="414BFF1A" w14:textId="77777777" w:rsidR="00D272B8" w:rsidRPr="007C21AC"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sz w:val="18"/>
                <w:szCs w:val="18"/>
                <w:lang w:val="pl-PL"/>
              </w:rPr>
            </w:pPr>
            <w:r w:rsidRPr="007C21AC">
              <w:rPr>
                <w:sz w:val="18"/>
                <w:szCs w:val="18"/>
                <w:lang w:val="pl-PL"/>
              </w:rPr>
              <w:t xml:space="preserve">Poprawa </w:t>
            </w:r>
            <w:r w:rsidR="00D272B8" w:rsidRPr="007C21AC">
              <w:rPr>
                <w:sz w:val="18"/>
                <w:szCs w:val="18"/>
                <w:lang w:val="pl-PL"/>
              </w:rPr>
              <w:t xml:space="preserve">efektywności procesu opieki nad pacjentem z </w:t>
            </w:r>
            <w:proofErr w:type="spellStart"/>
            <w:r>
              <w:rPr>
                <w:sz w:val="18"/>
                <w:szCs w:val="18"/>
                <w:lang w:val="pl-PL"/>
              </w:rPr>
              <w:t>PChN</w:t>
            </w:r>
            <w:proofErr w:type="spellEnd"/>
          </w:p>
          <w:p w14:paraId="1B8654F3" w14:textId="77777777" w:rsidR="00D272B8" w:rsidRPr="007C21AC"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sz w:val="18"/>
                <w:szCs w:val="18"/>
                <w:lang w:val="pl-PL"/>
              </w:rPr>
            </w:pPr>
            <w:r w:rsidRPr="007C21AC">
              <w:rPr>
                <w:sz w:val="18"/>
                <w:szCs w:val="18"/>
                <w:lang w:val="pl-PL"/>
              </w:rPr>
              <w:t xml:space="preserve">Poprawa </w:t>
            </w:r>
            <w:r w:rsidR="00D272B8" w:rsidRPr="007C21AC">
              <w:rPr>
                <w:sz w:val="18"/>
                <w:szCs w:val="18"/>
                <w:lang w:val="pl-PL"/>
              </w:rPr>
              <w:t>komfortu pacjentów</w:t>
            </w:r>
          </w:p>
          <w:p w14:paraId="0B75B337" w14:textId="77777777" w:rsidR="00D272B8" w:rsidRPr="007C21AC"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sz w:val="18"/>
                <w:szCs w:val="18"/>
                <w:lang w:val="pl-PL"/>
              </w:rPr>
            </w:pPr>
            <w:r w:rsidRPr="007C21AC">
              <w:rPr>
                <w:sz w:val="18"/>
                <w:szCs w:val="18"/>
                <w:lang w:val="pl-PL"/>
              </w:rPr>
              <w:t>Z</w:t>
            </w:r>
            <w:r w:rsidR="00D272B8" w:rsidRPr="007C21AC">
              <w:rPr>
                <w:sz w:val="18"/>
                <w:szCs w:val="18"/>
                <w:lang w:val="pl-PL"/>
              </w:rPr>
              <w:t xml:space="preserve">mniejszenie odsetka powikłań dostępów i interwencji naprawczych </w:t>
            </w:r>
          </w:p>
          <w:p w14:paraId="3D68FCA7" w14:textId="77777777" w:rsidR="00D272B8" w:rsidRPr="0023254B"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rFonts w:eastAsia="Calibri"/>
                <w:sz w:val="18"/>
                <w:szCs w:val="18"/>
                <w:lang w:val="pl-PL"/>
              </w:rPr>
            </w:pPr>
            <w:r w:rsidRPr="007C21AC">
              <w:rPr>
                <w:sz w:val="18"/>
                <w:szCs w:val="18"/>
                <w:lang w:val="pl-PL"/>
              </w:rPr>
              <w:t xml:space="preserve">Zmniejszenie </w:t>
            </w:r>
            <w:r w:rsidR="00D272B8" w:rsidRPr="007C21AC">
              <w:rPr>
                <w:sz w:val="18"/>
                <w:szCs w:val="18"/>
                <w:lang w:val="pl-PL"/>
              </w:rPr>
              <w:t>ilości hospitalizacji</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Mar>
              <w:top w:w="57" w:type="dxa"/>
              <w:left w:w="57" w:type="dxa"/>
              <w:bottom w:w="57" w:type="dxa"/>
              <w:right w:w="57" w:type="dxa"/>
            </w:tcMar>
          </w:tcPr>
          <w:p w14:paraId="79804CC1" w14:textId="77777777" w:rsidR="00D4155A" w:rsidRDefault="00D4155A"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sz w:val="18"/>
                <w:szCs w:val="18"/>
                <w:lang w:val="pl-PL"/>
              </w:rPr>
            </w:pPr>
            <w:r>
              <w:rPr>
                <w:rFonts w:eastAsia="Calibri"/>
                <w:b/>
                <w:sz w:val="18"/>
                <w:szCs w:val="18"/>
                <w:lang w:val="pl-PL"/>
              </w:rPr>
              <w:t xml:space="preserve">MODUŁ A: </w:t>
            </w:r>
          </w:p>
          <w:p w14:paraId="12414931" w14:textId="4A0D7CDA" w:rsidR="00C81BF3" w:rsidRDefault="00C81BF3"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sz w:val="18"/>
                <w:szCs w:val="18"/>
                <w:lang w:val="pl-PL"/>
              </w:rPr>
            </w:pPr>
            <w:r>
              <w:rPr>
                <w:rFonts w:eastAsia="Calibri"/>
                <w:b/>
                <w:sz w:val="18"/>
                <w:szCs w:val="18"/>
                <w:lang w:val="pl-PL"/>
              </w:rPr>
              <w:t>INWESTYCJA</w:t>
            </w:r>
          </w:p>
          <w:p w14:paraId="5977D7F1" w14:textId="77777777" w:rsidR="00D272B8" w:rsidRDefault="00C81BF3"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sz w:val="18"/>
                <w:szCs w:val="18"/>
                <w:lang w:val="pl-PL"/>
              </w:rPr>
            </w:pPr>
            <w:r>
              <w:rPr>
                <w:rFonts w:eastAsia="Calibri"/>
                <w:b/>
                <w:sz w:val="18"/>
                <w:szCs w:val="18"/>
                <w:lang w:val="pl-PL"/>
              </w:rPr>
              <w:t>41 MLN PLN</w:t>
            </w:r>
            <w:r w:rsidR="00D4155A">
              <w:rPr>
                <w:rFonts w:eastAsia="Calibri"/>
                <w:b/>
                <w:sz w:val="18"/>
                <w:szCs w:val="18"/>
                <w:lang w:val="pl-PL"/>
              </w:rPr>
              <w:br/>
            </w:r>
          </w:p>
          <w:p w14:paraId="65A411F1" w14:textId="77777777" w:rsidR="00D4155A" w:rsidRDefault="00D4155A"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sz w:val="18"/>
                <w:szCs w:val="18"/>
                <w:lang w:val="pl-PL"/>
              </w:rPr>
            </w:pPr>
          </w:p>
          <w:p w14:paraId="62512FC7" w14:textId="77777777" w:rsidR="00D4155A" w:rsidRDefault="00D4155A"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sz w:val="18"/>
                <w:szCs w:val="18"/>
                <w:lang w:val="pl-PL"/>
              </w:rPr>
            </w:pPr>
            <w:r>
              <w:rPr>
                <w:rFonts w:eastAsia="Calibri"/>
                <w:b/>
                <w:sz w:val="18"/>
                <w:szCs w:val="18"/>
                <w:lang w:val="pl-PL"/>
              </w:rPr>
              <w:t>MODUŁ AA:</w:t>
            </w:r>
          </w:p>
          <w:p w14:paraId="272AF1F9" w14:textId="49ECB060" w:rsidR="00D4155A" w:rsidRPr="007C21AC" w:rsidRDefault="00D4155A"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sz w:val="18"/>
                <w:szCs w:val="18"/>
                <w:lang w:val="pl-PL"/>
              </w:rPr>
            </w:pPr>
            <w:r>
              <w:rPr>
                <w:rFonts w:eastAsia="Calibri"/>
                <w:b/>
                <w:sz w:val="18"/>
                <w:szCs w:val="18"/>
                <w:lang w:val="pl-PL"/>
              </w:rPr>
              <w:t xml:space="preserve">OSZCZĘDNOŚCI </w:t>
            </w:r>
            <w:r>
              <w:rPr>
                <w:rFonts w:eastAsia="Calibri"/>
                <w:b/>
                <w:sz w:val="18"/>
                <w:szCs w:val="18"/>
                <w:lang w:val="pl-PL"/>
              </w:rPr>
              <w:br/>
              <w:t>3 mln PLN</w:t>
            </w:r>
          </w:p>
        </w:tc>
      </w:tr>
      <w:tr w:rsidR="00D272B8" w:rsidRPr="0023254B" w14:paraId="10167DFF" w14:textId="77777777" w:rsidTr="007C21AC">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808080" w:themeColor="background1" w:themeShade="80"/>
              <w:bottom w:val="single" w:sz="4" w:space="0" w:color="808080" w:themeColor="background1" w:themeShade="80"/>
            </w:tcBorders>
            <w:shd w:val="clear" w:color="auto" w:fill="F2F2F2" w:themeFill="background1" w:themeFillShade="F2"/>
            <w:tcMar>
              <w:top w:w="57" w:type="dxa"/>
              <w:left w:w="57" w:type="dxa"/>
              <w:bottom w:w="57" w:type="dxa"/>
              <w:right w:w="57" w:type="dxa"/>
            </w:tcMar>
          </w:tcPr>
          <w:p w14:paraId="2518BFDC" w14:textId="5FA2CE57" w:rsidR="00D272B8" w:rsidRPr="0023254B" w:rsidRDefault="00B439CC" w:rsidP="006A636F">
            <w:pPr>
              <w:rPr>
                <w:rFonts w:eastAsia="Calibri"/>
                <w:b/>
                <w:i w:val="0"/>
                <w:sz w:val="18"/>
                <w:szCs w:val="18"/>
                <w:lang w:val="pl-PL"/>
              </w:rPr>
            </w:pPr>
            <w:r>
              <w:rPr>
                <w:rFonts w:eastAsia="Calibri"/>
                <w:b/>
                <w:i w:val="0"/>
                <w:sz w:val="18"/>
                <w:szCs w:val="18"/>
                <w:lang w:val="pl-PL"/>
              </w:rPr>
              <w:t>MODUŁ B</w:t>
            </w:r>
          </w:p>
          <w:p w14:paraId="4185148B" w14:textId="35FD7D06" w:rsidR="00D272B8" w:rsidRPr="0023254B" w:rsidRDefault="00E56213" w:rsidP="006A636F">
            <w:pPr>
              <w:jc w:val="left"/>
              <w:rPr>
                <w:rFonts w:eastAsia="Calibri"/>
                <w:b/>
                <w:i w:val="0"/>
                <w:sz w:val="18"/>
                <w:szCs w:val="18"/>
                <w:lang w:val="pl-PL"/>
              </w:rPr>
            </w:pPr>
            <w:r>
              <w:rPr>
                <w:rFonts w:eastAsia="Calibri"/>
                <w:b/>
                <w:i w:val="0"/>
                <w:sz w:val="18"/>
                <w:szCs w:val="18"/>
                <w:lang w:val="pl-PL"/>
              </w:rPr>
              <w:t xml:space="preserve">Opieka </w:t>
            </w:r>
            <w:r w:rsidR="00B439CC">
              <w:rPr>
                <w:rFonts w:eastAsia="Calibri"/>
                <w:b/>
                <w:i w:val="0"/>
                <w:sz w:val="18"/>
                <w:szCs w:val="18"/>
                <w:lang w:val="pl-PL"/>
              </w:rPr>
              <w:t>koordynowana+</w:t>
            </w:r>
          </w:p>
          <w:p w14:paraId="2971E620"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sz w:val="18"/>
                <w:szCs w:val="18"/>
                <w:lang w:val="pl-PL"/>
              </w:rPr>
            </w:pPr>
            <w:r w:rsidRPr="007C21AC">
              <w:rPr>
                <w:rFonts w:eastAsia="Times New Roman"/>
                <w:i w:val="0"/>
                <w:sz w:val="18"/>
                <w:szCs w:val="18"/>
                <w:lang w:val="pl-PL"/>
              </w:rPr>
              <w:t>Wprowadzenie porad dietetyka do opieki koordynowanej nad p</w:t>
            </w:r>
            <w:r w:rsidR="00D272B8" w:rsidRPr="007C21AC">
              <w:rPr>
                <w:rFonts w:eastAsia="Times New Roman"/>
                <w:i w:val="0"/>
                <w:sz w:val="18"/>
                <w:szCs w:val="18"/>
                <w:lang w:val="pl-PL"/>
              </w:rPr>
              <w:t>acjentem dializowanym</w:t>
            </w:r>
            <w:r>
              <w:rPr>
                <w:rFonts w:eastAsia="Times New Roman"/>
                <w:i w:val="0"/>
                <w:sz w:val="18"/>
                <w:szCs w:val="18"/>
                <w:lang w:val="pl-PL"/>
              </w:rPr>
              <w:br/>
            </w:r>
            <w:r w:rsidR="00D272B8" w:rsidRPr="007C21AC">
              <w:rPr>
                <w:rFonts w:eastAsia="Times New Roman"/>
                <w:i w:val="0"/>
                <w:sz w:val="18"/>
                <w:szCs w:val="18"/>
                <w:lang w:val="pl-PL"/>
              </w:rPr>
              <w:t>(6h rocznie)</w:t>
            </w:r>
          </w:p>
          <w:p w14:paraId="119613FF"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sz w:val="18"/>
                <w:szCs w:val="18"/>
                <w:lang w:val="pl-PL"/>
              </w:rPr>
            </w:pPr>
            <w:r w:rsidRPr="007C21AC">
              <w:rPr>
                <w:rFonts w:eastAsia="Times New Roman"/>
                <w:i w:val="0"/>
                <w:sz w:val="18"/>
                <w:szCs w:val="18"/>
                <w:lang w:val="pl-PL"/>
              </w:rPr>
              <w:t>Wprowadzenie porad psychologa do opieki koordynowanej nad pacjentem dializowanym</w:t>
            </w:r>
            <w:r>
              <w:rPr>
                <w:rFonts w:eastAsia="Times New Roman"/>
                <w:i w:val="0"/>
                <w:sz w:val="18"/>
                <w:szCs w:val="18"/>
                <w:lang w:val="pl-PL"/>
              </w:rPr>
              <w:br/>
            </w:r>
            <w:r w:rsidR="00D272B8" w:rsidRPr="007C21AC">
              <w:rPr>
                <w:rFonts w:eastAsia="Times New Roman"/>
                <w:i w:val="0"/>
                <w:sz w:val="18"/>
                <w:szCs w:val="18"/>
                <w:lang w:val="pl-PL"/>
              </w:rPr>
              <w:t>(6h rocznie)</w:t>
            </w:r>
          </w:p>
          <w:p w14:paraId="2C49B9A7" w14:textId="77777777" w:rsidR="00D272B8" w:rsidRPr="00060165" w:rsidRDefault="006E6AFD" w:rsidP="006E6AFD">
            <w:pPr>
              <w:pStyle w:val="EYBulletedList1"/>
              <w:numPr>
                <w:ilvl w:val="0"/>
                <w:numId w:val="11"/>
              </w:numPr>
              <w:spacing w:beforeLines="20" w:before="48" w:afterLines="20" w:after="48"/>
              <w:ind w:left="289" w:hanging="289"/>
              <w:jc w:val="left"/>
              <w:rPr>
                <w:rFonts w:eastAsia="Calibri"/>
                <w:lang w:val="pl-PL"/>
              </w:rPr>
            </w:pPr>
            <w:r w:rsidRPr="007C21AC">
              <w:rPr>
                <w:rFonts w:eastAsia="Times New Roman"/>
                <w:i w:val="0"/>
                <w:sz w:val="18"/>
                <w:szCs w:val="18"/>
                <w:lang w:val="pl-PL"/>
              </w:rPr>
              <w:lastRenderedPageBreak/>
              <w:t>Wprowadzenie edukacji pacjentów do opieki koordynowanej nad pacjentem dializowanym</w:t>
            </w:r>
            <w:r>
              <w:rPr>
                <w:rFonts w:eastAsia="Times New Roman"/>
                <w:i w:val="0"/>
                <w:sz w:val="18"/>
                <w:szCs w:val="18"/>
                <w:lang w:val="pl-PL"/>
              </w:rPr>
              <w:br/>
            </w:r>
            <w:r w:rsidR="00D272B8" w:rsidRPr="007C21AC">
              <w:rPr>
                <w:rFonts w:eastAsia="Times New Roman"/>
                <w:i w:val="0"/>
                <w:sz w:val="18"/>
                <w:szCs w:val="18"/>
                <w:lang w:val="pl-PL"/>
              </w:rPr>
              <w:t>(12h rocznie)</w:t>
            </w:r>
          </w:p>
          <w:p w14:paraId="4589E438" w14:textId="6C33AC4C" w:rsidR="000925A0" w:rsidRPr="00FF3A4A" w:rsidRDefault="000925A0" w:rsidP="006E6AFD">
            <w:pPr>
              <w:pStyle w:val="EYBulletedList1"/>
              <w:numPr>
                <w:ilvl w:val="0"/>
                <w:numId w:val="11"/>
              </w:numPr>
              <w:spacing w:beforeLines="20" w:before="48" w:afterLines="20" w:after="48"/>
              <w:ind w:left="289" w:hanging="289"/>
              <w:jc w:val="left"/>
              <w:rPr>
                <w:rFonts w:eastAsia="Calibri"/>
                <w:lang w:val="pl-PL"/>
              </w:rPr>
            </w:pPr>
            <w:r>
              <w:rPr>
                <w:rFonts w:eastAsia="Times New Roman"/>
                <w:i w:val="0"/>
                <w:sz w:val="18"/>
                <w:szCs w:val="18"/>
                <w:lang w:val="pl-PL"/>
              </w:rPr>
              <w:t>Wprowadzenie opieki fizjoterapeuty do opieki koordynowanej nad pacjentem dializowanym (1 cykl 10 dniowy rocznie)</w:t>
            </w:r>
          </w:p>
        </w:tc>
        <w:tc>
          <w:tcPr>
            <w:tcW w:w="2268"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Mar>
              <w:top w:w="57" w:type="dxa"/>
              <w:left w:w="57" w:type="dxa"/>
              <w:bottom w:w="57" w:type="dxa"/>
              <w:right w:w="57" w:type="dxa"/>
            </w:tcMar>
          </w:tcPr>
          <w:p w14:paraId="5605163A" w14:textId="77777777" w:rsidR="00D272B8" w:rsidRPr="007C21AC" w:rsidRDefault="006E6AFD" w:rsidP="007C21AC">
            <w:pPr>
              <w:pStyle w:val="EYBulletedList1"/>
              <w:numPr>
                <w:ilvl w:val="0"/>
                <w:numId w:val="11"/>
              </w:numPr>
              <w:spacing w:beforeLines="20" w:before="48" w:afterLines="20" w:after="48"/>
              <w:ind w:left="289" w:hanging="289"/>
              <w:cnfStyle w:val="000000000000" w:firstRow="0" w:lastRow="0" w:firstColumn="0" w:lastColumn="0" w:oddVBand="0" w:evenVBand="0" w:oddHBand="0" w:evenHBand="0" w:firstRowFirstColumn="0" w:firstRowLastColumn="0" w:lastRowFirstColumn="0" w:lastRowLastColumn="0"/>
              <w:rPr>
                <w:sz w:val="18"/>
                <w:szCs w:val="18"/>
                <w:lang w:val="pl-PL"/>
              </w:rPr>
            </w:pPr>
            <w:r w:rsidRPr="007C21AC">
              <w:rPr>
                <w:sz w:val="18"/>
                <w:szCs w:val="18"/>
                <w:lang w:val="pl-PL"/>
              </w:rPr>
              <w:lastRenderedPageBreak/>
              <w:t>P</w:t>
            </w:r>
            <w:r w:rsidR="00D272B8" w:rsidRPr="007C21AC">
              <w:rPr>
                <w:sz w:val="18"/>
                <w:szCs w:val="18"/>
                <w:lang w:val="pl-PL"/>
              </w:rPr>
              <w:t>oprawa wyników leczenia populacji dializowanych – zmniejszenie kosztów pośrednich</w:t>
            </w:r>
          </w:p>
          <w:p w14:paraId="1C329FC4" w14:textId="77777777" w:rsidR="00D272B8" w:rsidRPr="007C21AC" w:rsidRDefault="006E6AFD" w:rsidP="007C21AC">
            <w:pPr>
              <w:pStyle w:val="EYBulletedList1"/>
              <w:numPr>
                <w:ilvl w:val="0"/>
                <w:numId w:val="11"/>
              </w:numPr>
              <w:spacing w:beforeLines="20" w:before="48" w:afterLines="20" w:after="48"/>
              <w:ind w:left="289" w:hanging="289"/>
              <w:cnfStyle w:val="000000000000" w:firstRow="0" w:lastRow="0" w:firstColumn="0" w:lastColumn="0" w:oddVBand="0" w:evenVBand="0" w:oddHBand="0" w:evenHBand="0" w:firstRowFirstColumn="0" w:firstRowLastColumn="0" w:lastRowFirstColumn="0" w:lastRowLastColumn="0"/>
              <w:rPr>
                <w:sz w:val="18"/>
                <w:szCs w:val="18"/>
                <w:lang w:val="pl-PL"/>
              </w:rPr>
            </w:pPr>
            <w:r w:rsidRPr="007C21AC">
              <w:rPr>
                <w:sz w:val="18"/>
                <w:szCs w:val="18"/>
                <w:lang w:val="pl-PL"/>
              </w:rPr>
              <w:t>P</w:t>
            </w:r>
            <w:r w:rsidR="00D272B8" w:rsidRPr="007C21AC">
              <w:rPr>
                <w:sz w:val="18"/>
                <w:szCs w:val="18"/>
                <w:lang w:val="pl-PL"/>
              </w:rPr>
              <w:t>oprawa jakości życia i satysfakcji pacjentów</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Mar>
              <w:top w:w="57" w:type="dxa"/>
              <w:left w:w="57" w:type="dxa"/>
              <w:bottom w:w="57" w:type="dxa"/>
              <w:right w:w="57" w:type="dxa"/>
            </w:tcMar>
          </w:tcPr>
          <w:p w14:paraId="599C3A39" w14:textId="58B21383" w:rsidR="00C81BF3" w:rsidRDefault="00C81BF3" w:rsidP="008C32D8">
            <w:pPr>
              <w:jc w:val="center"/>
              <w:cnfStyle w:val="000000000000" w:firstRow="0" w:lastRow="0" w:firstColumn="0" w:lastColumn="0" w:oddVBand="0" w:evenVBand="0" w:oddHBand="0" w:evenHBand="0" w:firstRowFirstColumn="0" w:firstRowLastColumn="0" w:lastRowFirstColumn="0" w:lastRowLastColumn="0"/>
              <w:rPr>
                <w:rFonts w:eastAsia="Calibri"/>
                <w:b/>
                <w:sz w:val="18"/>
                <w:szCs w:val="18"/>
                <w:lang w:val="pl-PL"/>
              </w:rPr>
            </w:pPr>
            <w:r>
              <w:rPr>
                <w:rFonts w:eastAsia="Calibri"/>
                <w:b/>
                <w:sz w:val="18"/>
                <w:szCs w:val="18"/>
                <w:lang w:val="pl-PL"/>
              </w:rPr>
              <w:t>INWESTYCJA</w:t>
            </w:r>
          </w:p>
          <w:p w14:paraId="5D513977" w14:textId="7093EB51" w:rsidR="00D272B8" w:rsidRPr="0023254B" w:rsidRDefault="00C81BF3" w:rsidP="008C32D8">
            <w:pPr>
              <w:jc w:val="center"/>
              <w:cnfStyle w:val="000000000000" w:firstRow="0" w:lastRow="0" w:firstColumn="0" w:lastColumn="0" w:oddVBand="0" w:evenVBand="0" w:oddHBand="0" w:evenHBand="0" w:firstRowFirstColumn="0" w:firstRowLastColumn="0" w:lastRowFirstColumn="0" w:lastRowLastColumn="0"/>
              <w:rPr>
                <w:rFonts w:eastAsia="Calibri"/>
                <w:sz w:val="18"/>
                <w:szCs w:val="18"/>
                <w:lang w:val="pl-PL"/>
              </w:rPr>
            </w:pPr>
            <w:r>
              <w:rPr>
                <w:rFonts w:eastAsia="Calibri"/>
                <w:b/>
                <w:sz w:val="18"/>
                <w:szCs w:val="18"/>
                <w:lang w:val="pl-PL"/>
              </w:rPr>
              <w:t>31 MLN PLN</w:t>
            </w:r>
          </w:p>
        </w:tc>
      </w:tr>
      <w:tr w:rsidR="00D272B8" w:rsidRPr="00C57815" w14:paraId="2458EB7D" w14:textId="77777777" w:rsidTr="006E6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808080" w:themeColor="background1" w:themeShade="80"/>
              <w:bottom w:val="single" w:sz="4" w:space="0" w:color="FFFFFF" w:themeColor="background1"/>
            </w:tcBorders>
            <w:shd w:val="clear" w:color="auto" w:fill="F2F2F2" w:themeFill="background1" w:themeFillShade="F2"/>
            <w:tcMar>
              <w:top w:w="57" w:type="dxa"/>
              <w:left w:w="57" w:type="dxa"/>
              <w:bottom w:w="57" w:type="dxa"/>
              <w:right w:w="57" w:type="dxa"/>
            </w:tcMar>
          </w:tcPr>
          <w:p w14:paraId="49EC6B77" w14:textId="75B7730A" w:rsidR="00D272B8" w:rsidRPr="0023254B" w:rsidRDefault="00B439CC" w:rsidP="006A636F">
            <w:pPr>
              <w:rPr>
                <w:rFonts w:eastAsia="Calibri"/>
                <w:b/>
                <w:i w:val="0"/>
                <w:sz w:val="18"/>
                <w:szCs w:val="18"/>
                <w:lang w:val="pl-PL"/>
              </w:rPr>
            </w:pPr>
            <w:r>
              <w:rPr>
                <w:rFonts w:eastAsia="Calibri"/>
                <w:b/>
                <w:i w:val="0"/>
                <w:sz w:val="18"/>
                <w:szCs w:val="18"/>
                <w:lang w:val="pl-PL"/>
              </w:rPr>
              <w:t>MODUŁ C</w:t>
            </w:r>
          </w:p>
          <w:p w14:paraId="7B33FFC9" w14:textId="14E8B902" w:rsidR="00B439CC" w:rsidRPr="0023254B" w:rsidRDefault="00E56213" w:rsidP="006A636F">
            <w:pPr>
              <w:jc w:val="left"/>
              <w:rPr>
                <w:rFonts w:eastAsia="Calibri"/>
                <w:b/>
                <w:i w:val="0"/>
                <w:sz w:val="18"/>
                <w:szCs w:val="18"/>
                <w:lang w:val="pl-PL"/>
              </w:rPr>
            </w:pPr>
            <w:r>
              <w:rPr>
                <w:rFonts w:eastAsia="Calibri"/>
                <w:b/>
                <w:i w:val="0"/>
                <w:sz w:val="18"/>
                <w:szCs w:val="18"/>
                <w:lang w:val="pl-PL"/>
              </w:rPr>
              <w:t>Opieka koordynowana pacjentów przed dializą</w:t>
            </w:r>
          </w:p>
          <w:p w14:paraId="3F0E4649" w14:textId="77777777" w:rsidR="00B439CC" w:rsidRPr="00060165" w:rsidRDefault="006E6AFD" w:rsidP="007C21AC">
            <w:pPr>
              <w:pStyle w:val="EYBulletedList1"/>
              <w:numPr>
                <w:ilvl w:val="0"/>
                <w:numId w:val="11"/>
              </w:numPr>
              <w:spacing w:beforeLines="20" w:before="48" w:afterLines="20" w:after="48"/>
              <w:ind w:left="289" w:hanging="289"/>
              <w:jc w:val="left"/>
              <w:rPr>
                <w:rFonts w:eastAsia="Times New Roman"/>
                <w:sz w:val="18"/>
                <w:szCs w:val="18"/>
                <w:lang w:val="pl-PL"/>
              </w:rPr>
            </w:pPr>
            <w:r>
              <w:rPr>
                <w:rFonts w:eastAsia="Times New Roman"/>
                <w:i w:val="0"/>
                <w:sz w:val="18"/>
                <w:szCs w:val="18"/>
                <w:lang w:val="pl-PL"/>
              </w:rPr>
              <w:t>O</w:t>
            </w:r>
            <w:r w:rsidR="00D272B8" w:rsidRPr="007C21AC">
              <w:rPr>
                <w:rFonts w:eastAsia="Times New Roman"/>
                <w:i w:val="0"/>
                <w:sz w:val="18"/>
                <w:szCs w:val="18"/>
                <w:lang w:val="pl-PL"/>
              </w:rPr>
              <w:t>bjęcie opieką koordynowaną dodatkowej populacji pacjentów</w:t>
            </w:r>
          </w:p>
          <w:p w14:paraId="75825510"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sz w:val="18"/>
                <w:szCs w:val="18"/>
                <w:lang w:val="pl-PL"/>
              </w:rPr>
            </w:pPr>
            <w:r w:rsidRPr="007C21AC">
              <w:rPr>
                <w:rFonts w:eastAsia="Times New Roman"/>
                <w:i w:val="0"/>
                <w:sz w:val="18"/>
                <w:szCs w:val="18"/>
                <w:lang w:val="pl-PL"/>
              </w:rPr>
              <w:t>Przekazanie odpowiedzialności za wyniki leczenia tej populacji jednostkom koordynującym</w:t>
            </w:r>
          </w:p>
          <w:p w14:paraId="24063F60"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sz w:val="18"/>
                <w:szCs w:val="18"/>
                <w:lang w:val="pl-PL"/>
              </w:rPr>
            </w:pPr>
            <w:r w:rsidRPr="007C21AC">
              <w:rPr>
                <w:rFonts w:eastAsia="Times New Roman"/>
                <w:i w:val="0"/>
                <w:sz w:val="18"/>
                <w:szCs w:val="18"/>
                <w:lang w:val="pl-PL"/>
              </w:rPr>
              <w:t>Przekazanie finansowania ze środków publicznych jednostkom koordynującym</w:t>
            </w:r>
          </w:p>
          <w:p w14:paraId="1EBA0365" w14:textId="77777777" w:rsidR="00D272B8" w:rsidRPr="007C21AC" w:rsidRDefault="006E6AFD" w:rsidP="007C21AC">
            <w:pPr>
              <w:pStyle w:val="EYBulletedList1"/>
              <w:numPr>
                <w:ilvl w:val="0"/>
                <w:numId w:val="11"/>
              </w:numPr>
              <w:spacing w:beforeLines="20" w:before="48" w:afterLines="20" w:after="48"/>
              <w:ind w:left="289" w:hanging="289"/>
              <w:jc w:val="left"/>
              <w:rPr>
                <w:rFonts w:eastAsia="Times New Roman"/>
                <w:sz w:val="18"/>
                <w:szCs w:val="18"/>
                <w:lang w:val="pl-PL"/>
              </w:rPr>
            </w:pPr>
            <w:r w:rsidRPr="007C21AC">
              <w:rPr>
                <w:rFonts w:eastAsia="Times New Roman"/>
                <w:i w:val="0"/>
                <w:sz w:val="18"/>
                <w:szCs w:val="18"/>
                <w:lang w:val="pl-PL"/>
              </w:rPr>
              <w:t xml:space="preserve">Wprowadzenie roli koordynatora dla tej populacji pacjentów </w:t>
            </w:r>
          </w:p>
          <w:p w14:paraId="6120F209" w14:textId="7D72EB29" w:rsidR="00D272B8" w:rsidRPr="00FF3A4A" w:rsidRDefault="006E6AFD" w:rsidP="007C21AC">
            <w:pPr>
              <w:pStyle w:val="EYBulletedList1"/>
              <w:numPr>
                <w:ilvl w:val="0"/>
                <w:numId w:val="11"/>
              </w:numPr>
              <w:spacing w:beforeLines="20" w:before="48" w:afterLines="20" w:after="48"/>
              <w:ind w:left="289" w:hanging="289"/>
              <w:jc w:val="left"/>
              <w:rPr>
                <w:rFonts w:eastAsia="Calibri"/>
                <w:lang w:val="pl-PL"/>
              </w:rPr>
            </w:pPr>
            <w:r w:rsidRPr="007C21AC">
              <w:rPr>
                <w:rFonts w:eastAsia="Times New Roman"/>
                <w:i w:val="0"/>
                <w:sz w:val="18"/>
                <w:szCs w:val="18"/>
                <w:lang w:val="pl-PL"/>
              </w:rPr>
              <w:t>Wprowadzenie porad dietetyka, porad psychologa</w:t>
            </w:r>
            <w:r w:rsidR="000925A0">
              <w:rPr>
                <w:rFonts w:eastAsia="Times New Roman"/>
                <w:i w:val="0"/>
                <w:sz w:val="18"/>
                <w:szCs w:val="18"/>
                <w:lang w:val="pl-PL"/>
              </w:rPr>
              <w:t xml:space="preserve">, </w:t>
            </w:r>
            <w:r w:rsidRPr="007C21AC">
              <w:rPr>
                <w:rFonts w:eastAsia="Times New Roman"/>
                <w:i w:val="0"/>
                <w:sz w:val="18"/>
                <w:szCs w:val="18"/>
                <w:lang w:val="pl-PL"/>
              </w:rPr>
              <w:t>edukacji</w:t>
            </w:r>
            <w:r w:rsidR="000925A0">
              <w:rPr>
                <w:rFonts w:eastAsia="Times New Roman"/>
                <w:i w:val="0"/>
                <w:sz w:val="18"/>
                <w:szCs w:val="18"/>
                <w:lang w:val="pl-PL"/>
              </w:rPr>
              <w:t xml:space="preserve"> i opieki fizjoterapeuty</w:t>
            </w:r>
            <w:r w:rsidRPr="007C21AC">
              <w:rPr>
                <w:rFonts w:eastAsia="Times New Roman"/>
                <w:i w:val="0"/>
                <w:sz w:val="18"/>
                <w:szCs w:val="18"/>
                <w:lang w:val="pl-PL"/>
              </w:rPr>
              <w:t xml:space="preserve"> dla tej populacji pacjentów</w:t>
            </w:r>
          </w:p>
        </w:tc>
        <w:tc>
          <w:tcPr>
            <w:tcW w:w="2268" w:type="dxa"/>
            <w:tcBorders>
              <w:top w:val="single" w:sz="4" w:space="0" w:color="808080" w:themeColor="background1" w:themeShade="80"/>
              <w:right w:val="single" w:sz="4" w:space="0" w:color="808080" w:themeColor="background1" w:themeShade="80"/>
            </w:tcBorders>
            <w:shd w:val="clear" w:color="auto" w:fill="auto"/>
            <w:tcMar>
              <w:top w:w="57" w:type="dxa"/>
              <w:left w:w="57" w:type="dxa"/>
              <w:bottom w:w="57" w:type="dxa"/>
              <w:right w:w="57" w:type="dxa"/>
            </w:tcMar>
          </w:tcPr>
          <w:p w14:paraId="47F233E3" w14:textId="77777777" w:rsidR="00D272B8" w:rsidRPr="007C21AC"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sz w:val="18"/>
                <w:szCs w:val="18"/>
                <w:lang w:val="pl-PL"/>
              </w:rPr>
            </w:pPr>
            <w:r w:rsidRPr="007C21AC">
              <w:rPr>
                <w:sz w:val="18"/>
                <w:szCs w:val="18"/>
                <w:lang w:val="pl-PL"/>
              </w:rPr>
              <w:t>O</w:t>
            </w:r>
            <w:r w:rsidR="00D272B8" w:rsidRPr="007C21AC">
              <w:rPr>
                <w:sz w:val="18"/>
                <w:szCs w:val="18"/>
                <w:lang w:val="pl-PL"/>
              </w:rPr>
              <w:t>późnienie rozpoczęcia leczenia nerkozastępczego – oszczędności w zakresie leczenia nerkozastępczego</w:t>
            </w:r>
            <w:r>
              <w:rPr>
                <w:sz w:val="18"/>
                <w:szCs w:val="18"/>
                <w:lang w:val="pl-PL"/>
              </w:rPr>
              <w:br/>
            </w:r>
            <w:r w:rsidR="00D272B8" w:rsidRPr="007C21AC">
              <w:rPr>
                <w:sz w:val="18"/>
                <w:szCs w:val="18"/>
                <w:lang w:val="pl-PL"/>
              </w:rPr>
              <w:t>i leczenia szpitalnego</w:t>
            </w:r>
          </w:p>
          <w:p w14:paraId="31BD6588" w14:textId="77777777" w:rsidR="00D272B8" w:rsidRPr="007C21AC"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sz w:val="18"/>
                <w:szCs w:val="18"/>
                <w:lang w:val="pl-PL"/>
              </w:rPr>
            </w:pPr>
            <w:r>
              <w:rPr>
                <w:sz w:val="18"/>
                <w:szCs w:val="18"/>
                <w:lang w:val="pl-PL"/>
              </w:rPr>
              <w:t xml:space="preserve">Obniżenie kosztów pośrednich </w:t>
            </w:r>
            <w:proofErr w:type="spellStart"/>
            <w:r>
              <w:rPr>
                <w:sz w:val="18"/>
                <w:szCs w:val="18"/>
                <w:lang w:val="pl-PL"/>
              </w:rPr>
              <w:t>PChN</w:t>
            </w:r>
            <w:proofErr w:type="spellEnd"/>
            <w:r w:rsidRPr="007C21AC">
              <w:rPr>
                <w:sz w:val="18"/>
                <w:szCs w:val="18"/>
                <w:lang w:val="pl-PL"/>
              </w:rPr>
              <w:t xml:space="preserve"> – pozytywne przełożenie na </w:t>
            </w:r>
            <w:r>
              <w:rPr>
                <w:sz w:val="18"/>
                <w:szCs w:val="18"/>
                <w:lang w:val="pl-PL"/>
              </w:rPr>
              <w:t>PKB</w:t>
            </w:r>
          </w:p>
          <w:p w14:paraId="49ECD29F" w14:textId="77777777" w:rsidR="00D272B8" w:rsidRPr="007C21AC" w:rsidRDefault="006E6AFD" w:rsidP="007C21AC">
            <w:pPr>
              <w:pStyle w:val="EYBulletedList1"/>
              <w:numPr>
                <w:ilvl w:val="0"/>
                <w:numId w:val="11"/>
              </w:numPr>
              <w:spacing w:beforeLines="20" w:before="48" w:afterLines="20" w:after="48"/>
              <w:ind w:left="289" w:hanging="289"/>
              <w:cnfStyle w:val="000000100000" w:firstRow="0" w:lastRow="0" w:firstColumn="0" w:lastColumn="0" w:oddVBand="0" w:evenVBand="0" w:oddHBand="1" w:evenHBand="0" w:firstRowFirstColumn="0" w:firstRowLastColumn="0" w:lastRowFirstColumn="0" w:lastRowLastColumn="0"/>
              <w:rPr>
                <w:sz w:val="18"/>
                <w:szCs w:val="18"/>
                <w:lang w:val="pl-PL"/>
              </w:rPr>
            </w:pPr>
            <w:r w:rsidRPr="007C21AC">
              <w:rPr>
                <w:sz w:val="18"/>
                <w:szCs w:val="18"/>
                <w:lang w:val="pl-PL"/>
              </w:rPr>
              <w:t>P</w:t>
            </w:r>
            <w:r w:rsidR="00D272B8" w:rsidRPr="007C21AC">
              <w:rPr>
                <w:sz w:val="18"/>
                <w:szCs w:val="18"/>
                <w:lang w:val="pl-PL"/>
              </w:rPr>
              <w:t>oprawa jakości życia i satysfakcji pacjentów</w:t>
            </w:r>
          </w:p>
        </w:tc>
        <w:tc>
          <w:tcPr>
            <w:tcW w:w="2268" w:type="dxa"/>
            <w:tcBorders>
              <w:top w:val="single" w:sz="4" w:space="0" w:color="808080" w:themeColor="background1" w:themeShade="80"/>
              <w:left w:val="single" w:sz="4" w:space="0" w:color="808080" w:themeColor="background1" w:themeShade="80"/>
            </w:tcBorders>
            <w:shd w:val="clear" w:color="auto" w:fill="auto"/>
            <w:tcMar>
              <w:top w:w="57" w:type="dxa"/>
              <w:left w:w="57" w:type="dxa"/>
              <w:bottom w:w="57" w:type="dxa"/>
              <w:right w:w="57" w:type="dxa"/>
            </w:tcMar>
          </w:tcPr>
          <w:p w14:paraId="6817E664" w14:textId="108DE54D" w:rsidR="00C81BF3" w:rsidRDefault="00E46B14" w:rsidP="00060165">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eastAsia="Calibri"/>
                <w:b/>
                <w:bCs/>
                <w:noProof/>
                <w:sz w:val="18"/>
                <w:szCs w:val="18"/>
                <w:lang w:val="pl-PL" w:eastAsia="pl-PL"/>
              </w:rPr>
            </w:pPr>
            <w:r>
              <w:rPr>
                <w:rFonts w:eastAsia="Calibri"/>
                <w:b/>
                <w:bCs/>
                <w:noProof/>
                <w:sz w:val="18"/>
                <w:szCs w:val="18"/>
                <w:lang w:val="pl-PL" w:eastAsia="pl-PL"/>
              </w:rPr>
              <w:t xml:space="preserve">C1: </w:t>
            </w:r>
            <w:r w:rsidR="00C81BF3">
              <w:rPr>
                <w:rFonts w:eastAsia="Calibri"/>
                <w:b/>
                <w:bCs/>
                <w:noProof/>
                <w:sz w:val="18"/>
                <w:szCs w:val="18"/>
                <w:lang w:val="pl-PL" w:eastAsia="pl-PL"/>
              </w:rPr>
              <w:t>Populacja: CKD 3b + 4 + 5</w:t>
            </w:r>
          </w:p>
          <w:p w14:paraId="2AB7480C" w14:textId="27399BBA" w:rsidR="00AC0A71" w:rsidRPr="00AC0A71" w:rsidRDefault="00AC0A71" w:rsidP="00060165">
            <w:pPr>
              <w:pStyle w:val="EYBulletedList1"/>
              <w:numPr>
                <w:ilvl w:val="0"/>
                <w:numId w:val="0"/>
              </w:num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eastAsia="Calibri"/>
                <w:b/>
                <w:noProof/>
                <w:sz w:val="18"/>
                <w:szCs w:val="18"/>
                <w:lang w:val="pl-PL" w:eastAsia="pl-PL"/>
              </w:rPr>
            </w:pPr>
            <w:r w:rsidRPr="00AC0A71">
              <w:rPr>
                <w:rFonts w:eastAsia="Calibri"/>
                <w:b/>
                <w:bCs/>
                <w:noProof/>
                <w:sz w:val="18"/>
                <w:szCs w:val="18"/>
                <w:lang w:val="pl-PL" w:eastAsia="pl-PL"/>
              </w:rPr>
              <w:t>INWESTYCJA 65,5 MLN PLN</w:t>
            </w:r>
          </w:p>
          <w:p w14:paraId="77F20D3D" w14:textId="2A6B0CD2" w:rsidR="00AC0A71" w:rsidRDefault="00E46B14" w:rsidP="00060165">
            <w:pPr>
              <w:pStyle w:val="EYBulletedList1"/>
              <w:numPr>
                <w:ilvl w:val="0"/>
                <w:numId w:val="0"/>
              </w:numPr>
              <w:spacing w:beforeLines="20" w:before="48" w:afterLines="20" w:after="48"/>
              <w:ind w:left="289"/>
              <w:jc w:val="center"/>
              <w:cnfStyle w:val="000000100000" w:firstRow="0" w:lastRow="0" w:firstColumn="0" w:lastColumn="0" w:oddVBand="0" w:evenVBand="0" w:oddHBand="1" w:evenHBand="0" w:firstRowFirstColumn="0" w:firstRowLastColumn="0" w:lastRowFirstColumn="0" w:lastRowLastColumn="0"/>
              <w:rPr>
                <w:rFonts w:eastAsia="Calibri"/>
                <w:b/>
                <w:bCs/>
                <w:noProof/>
                <w:sz w:val="18"/>
                <w:szCs w:val="18"/>
                <w:lang w:val="pl-PL" w:eastAsia="pl-PL"/>
              </w:rPr>
            </w:pPr>
            <w:r>
              <w:rPr>
                <w:rFonts w:eastAsia="Calibri"/>
                <w:b/>
                <w:bCs/>
                <w:noProof/>
                <w:sz w:val="18"/>
                <w:szCs w:val="18"/>
                <w:lang w:val="pl-PL" w:eastAsia="pl-PL"/>
              </w:rPr>
              <w:t xml:space="preserve">C2: </w:t>
            </w:r>
          </w:p>
          <w:p w14:paraId="728047CC" w14:textId="4C0AADCC" w:rsidR="00AC0A71" w:rsidRDefault="00C81BF3"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bCs/>
                <w:noProof/>
                <w:sz w:val="18"/>
                <w:szCs w:val="18"/>
                <w:lang w:val="pl-PL" w:eastAsia="pl-PL"/>
              </w:rPr>
            </w:pPr>
            <w:r>
              <w:rPr>
                <w:rFonts w:eastAsia="Calibri"/>
                <w:b/>
                <w:bCs/>
                <w:noProof/>
                <w:sz w:val="18"/>
                <w:szCs w:val="18"/>
                <w:lang w:val="pl-PL" w:eastAsia="pl-PL"/>
              </w:rPr>
              <w:t>Populacja: CKD 4 +</w:t>
            </w:r>
          </w:p>
          <w:p w14:paraId="5453C7FA" w14:textId="50C6B7A6" w:rsidR="00AC0A71" w:rsidRPr="00AC0A71" w:rsidRDefault="00AC0A71" w:rsidP="00060165">
            <w:pPr>
              <w:pStyle w:val="EYBulletedList1"/>
              <w:numPr>
                <w:ilvl w:val="0"/>
                <w:numId w:val="0"/>
              </w:numPr>
              <w:spacing w:beforeLines="20" w:before="48" w:afterLines="20" w:after="48"/>
              <w:ind w:left="288" w:hanging="288"/>
              <w:jc w:val="center"/>
              <w:cnfStyle w:val="000000100000" w:firstRow="0" w:lastRow="0" w:firstColumn="0" w:lastColumn="0" w:oddVBand="0" w:evenVBand="0" w:oddHBand="1" w:evenHBand="0" w:firstRowFirstColumn="0" w:firstRowLastColumn="0" w:lastRowFirstColumn="0" w:lastRowLastColumn="0"/>
              <w:rPr>
                <w:rFonts w:eastAsia="Calibri"/>
                <w:b/>
                <w:noProof/>
                <w:sz w:val="18"/>
                <w:szCs w:val="18"/>
                <w:lang w:val="pl-PL" w:eastAsia="pl-PL"/>
              </w:rPr>
            </w:pPr>
            <w:r w:rsidRPr="00AC0A71">
              <w:rPr>
                <w:rFonts w:eastAsia="Calibri"/>
                <w:b/>
                <w:bCs/>
                <w:noProof/>
                <w:sz w:val="18"/>
                <w:szCs w:val="18"/>
                <w:lang w:val="pl-PL" w:eastAsia="pl-PL"/>
              </w:rPr>
              <w:t>INWESTYCJA 46,5 MLN PLN</w:t>
            </w:r>
          </w:p>
          <w:p w14:paraId="1BF2E84E" w14:textId="77777777" w:rsidR="00AC0A71" w:rsidRDefault="00AC0A71" w:rsidP="00FD0F13">
            <w:pPr>
              <w:jc w:val="center"/>
              <w:cnfStyle w:val="000000100000" w:firstRow="0" w:lastRow="0" w:firstColumn="0" w:lastColumn="0" w:oddVBand="0" w:evenVBand="0" w:oddHBand="1" w:evenHBand="0" w:firstRowFirstColumn="0" w:firstRowLastColumn="0" w:lastRowFirstColumn="0" w:lastRowLastColumn="0"/>
              <w:rPr>
                <w:rFonts w:eastAsia="Calibri"/>
                <w:b/>
                <w:bCs/>
                <w:noProof/>
                <w:sz w:val="18"/>
                <w:szCs w:val="18"/>
                <w:lang w:val="pl-PL" w:eastAsia="pl-PL"/>
              </w:rPr>
            </w:pPr>
          </w:p>
          <w:p w14:paraId="7AEF0FAE" w14:textId="67D78F08" w:rsidR="00AC0A71" w:rsidRDefault="00E46B14" w:rsidP="008C59C5">
            <w:pPr>
              <w:jc w:val="center"/>
              <w:cnfStyle w:val="000000100000" w:firstRow="0" w:lastRow="0" w:firstColumn="0" w:lastColumn="0" w:oddVBand="0" w:evenVBand="0" w:oddHBand="1" w:evenHBand="0" w:firstRowFirstColumn="0" w:firstRowLastColumn="0" w:lastRowFirstColumn="0" w:lastRowLastColumn="0"/>
              <w:rPr>
                <w:rFonts w:eastAsia="Calibri"/>
                <w:b/>
                <w:bCs/>
                <w:noProof/>
                <w:sz w:val="18"/>
                <w:szCs w:val="18"/>
                <w:lang w:val="pl-PL" w:eastAsia="pl-PL"/>
              </w:rPr>
            </w:pPr>
            <w:r>
              <w:rPr>
                <w:rFonts w:eastAsia="Calibri"/>
                <w:b/>
                <w:bCs/>
                <w:noProof/>
                <w:sz w:val="18"/>
                <w:szCs w:val="18"/>
                <w:lang w:val="pl-PL" w:eastAsia="pl-PL"/>
              </w:rPr>
              <w:t xml:space="preserve">C3: </w:t>
            </w:r>
            <w:r w:rsidR="00C81BF3">
              <w:rPr>
                <w:rFonts w:eastAsia="Calibri"/>
                <w:b/>
                <w:bCs/>
                <w:noProof/>
                <w:sz w:val="18"/>
                <w:szCs w:val="18"/>
                <w:lang w:val="pl-PL" w:eastAsia="pl-PL"/>
              </w:rPr>
              <w:t>Populacja: CKD 4 A3 + 5</w:t>
            </w:r>
          </w:p>
          <w:p w14:paraId="773416BB" w14:textId="673B0B8A" w:rsidR="00D272B8" w:rsidRPr="0023254B" w:rsidRDefault="00AC0A71">
            <w:pPr>
              <w:jc w:val="center"/>
              <w:cnfStyle w:val="000000100000" w:firstRow="0" w:lastRow="0" w:firstColumn="0" w:lastColumn="0" w:oddVBand="0" w:evenVBand="0" w:oddHBand="1" w:evenHBand="0" w:firstRowFirstColumn="0" w:firstRowLastColumn="0" w:lastRowFirstColumn="0" w:lastRowLastColumn="0"/>
              <w:rPr>
                <w:rFonts w:eastAsia="Calibri"/>
                <w:sz w:val="18"/>
                <w:szCs w:val="18"/>
                <w:lang w:val="pl-PL"/>
              </w:rPr>
            </w:pPr>
            <w:r w:rsidRPr="00AC0A71">
              <w:rPr>
                <w:rFonts w:eastAsia="Calibri"/>
                <w:b/>
                <w:bCs/>
                <w:noProof/>
                <w:sz w:val="18"/>
                <w:szCs w:val="18"/>
                <w:lang w:val="pl-PL" w:eastAsia="pl-PL"/>
              </w:rPr>
              <w:t>INWESTYCJA 34,3 MLN PLN</w:t>
            </w:r>
          </w:p>
        </w:tc>
      </w:tr>
    </w:tbl>
    <w:p w14:paraId="024ECF17" w14:textId="77EE7087" w:rsidR="00C328CA" w:rsidRPr="00060165" w:rsidRDefault="00C328CA" w:rsidP="00C328CA">
      <w:pPr>
        <w:rPr>
          <w:rFonts w:eastAsia="Calibri"/>
          <w:sz w:val="18"/>
          <w:lang w:val="pl-PL"/>
        </w:rPr>
      </w:pPr>
      <w:r w:rsidRPr="00060165">
        <w:rPr>
          <w:rFonts w:eastAsia="Calibri"/>
          <w:sz w:val="18"/>
          <w:lang w:val="pl-PL"/>
        </w:rPr>
        <w:t>Źródło: Opracowanie własne EY</w:t>
      </w:r>
    </w:p>
    <w:p w14:paraId="6300D2C0" w14:textId="4B044332" w:rsidR="003C7D89" w:rsidRPr="00060165" w:rsidRDefault="00535CBB" w:rsidP="003C7D89">
      <w:pPr>
        <w:pStyle w:val="Legenda"/>
        <w:keepNext/>
        <w:rPr>
          <w:i w:val="0"/>
          <w:color w:val="auto"/>
          <w:sz w:val="22"/>
          <w:szCs w:val="22"/>
          <w:lang w:val="pl-PL"/>
        </w:rPr>
      </w:pPr>
      <w:r>
        <w:rPr>
          <w:i w:val="0"/>
          <w:color w:val="auto"/>
          <w:sz w:val="22"/>
          <w:szCs w:val="22"/>
          <w:lang w:val="pl-PL"/>
        </w:rPr>
        <w:t xml:space="preserve">Implementacja modelu opieki koordynowanej została przeanalizowana w trzech scenariuszach. Różnice między scenariuszami wyznacza </w:t>
      </w:r>
      <w:r w:rsidR="00E715C5">
        <w:rPr>
          <w:i w:val="0"/>
          <w:color w:val="auto"/>
          <w:sz w:val="22"/>
          <w:szCs w:val="22"/>
          <w:lang w:val="pl-PL"/>
        </w:rPr>
        <w:t xml:space="preserve">wielkość populacji pacjentów w okresie </w:t>
      </w:r>
      <w:proofErr w:type="spellStart"/>
      <w:r w:rsidR="00E715C5">
        <w:rPr>
          <w:i w:val="0"/>
          <w:color w:val="auto"/>
          <w:sz w:val="22"/>
          <w:szCs w:val="22"/>
          <w:lang w:val="pl-PL"/>
        </w:rPr>
        <w:t>pr</w:t>
      </w:r>
      <w:r w:rsidR="00AB3698">
        <w:rPr>
          <w:i w:val="0"/>
          <w:color w:val="auto"/>
          <w:sz w:val="22"/>
          <w:szCs w:val="22"/>
          <w:lang w:val="pl-PL"/>
        </w:rPr>
        <w:t>e</w:t>
      </w:r>
      <w:r w:rsidR="00E715C5">
        <w:rPr>
          <w:i w:val="0"/>
          <w:color w:val="auto"/>
          <w:sz w:val="22"/>
          <w:szCs w:val="22"/>
          <w:lang w:val="pl-PL"/>
        </w:rPr>
        <w:t>dializ</w:t>
      </w:r>
      <w:r w:rsidR="00AB3698">
        <w:rPr>
          <w:i w:val="0"/>
          <w:color w:val="auto"/>
          <w:sz w:val="22"/>
          <w:szCs w:val="22"/>
          <w:lang w:val="pl-PL"/>
        </w:rPr>
        <w:t>acyjnym</w:t>
      </w:r>
      <w:proofErr w:type="spellEnd"/>
      <w:r w:rsidR="00E715C5">
        <w:rPr>
          <w:i w:val="0"/>
          <w:color w:val="auto"/>
          <w:sz w:val="22"/>
          <w:szCs w:val="22"/>
          <w:lang w:val="pl-PL"/>
        </w:rPr>
        <w:t xml:space="preserve">. </w:t>
      </w:r>
    </w:p>
    <w:p w14:paraId="74CF9C4C" w14:textId="6390C5E8" w:rsidR="00535CBB" w:rsidRPr="00060165" w:rsidRDefault="00535CBB" w:rsidP="00FD0F13">
      <w:pPr>
        <w:pStyle w:val="Legenda"/>
        <w:keepNext/>
        <w:rPr>
          <w:b/>
          <w:i w:val="0"/>
          <w:color w:val="auto"/>
          <w:lang w:val="pl-PL"/>
        </w:rPr>
      </w:pPr>
      <w:bookmarkStart w:id="589" w:name="_Toc486537989"/>
      <w:r w:rsidRPr="00307122">
        <w:rPr>
          <w:b/>
          <w:i w:val="0"/>
          <w:color w:val="auto"/>
          <w:lang w:val="pl-PL"/>
        </w:rPr>
        <w:t xml:space="preserve">Tabela </w:t>
      </w:r>
      <w:r w:rsidRPr="00307122">
        <w:rPr>
          <w:b/>
          <w:i w:val="0"/>
          <w:color w:val="auto"/>
          <w:lang w:val="pl-PL"/>
        </w:rPr>
        <w:fldChar w:fldCharType="begin"/>
      </w:r>
      <w:r w:rsidRPr="00307122">
        <w:rPr>
          <w:b/>
          <w:i w:val="0"/>
          <w:color w:val="auto"/>
          <w:lang w:val="pl-PL"/>
        </w:rPr>
        <w:instrText xml:space="preserve"> SEQ Tabela \* ARABIC </w:instrText>
      </w:r>
      <w:r w:rsidRPr="00307122">
        <w:rPr>
          <w:b/>
          <w:i w:val="0"/>
          <w:color w:val="auto"/>
          <w:lang w:val="pl-PL"/>
        </w:rPr>
        <w:fldChar w:fldCharType="separate"/>
      </w:r>
      <w:r w:rsidR="005C7285">
        <w:rPr>
          <w:b/>
          <w:i w:val="0"/>
          <w:noProof/>
          <w:color w:val="auto"/>
          <w:lang w:val="pl-PL"/>
        </w:rPr>
        <w:t>26</w:t>
      </w:r>
      <w:r w:rsidRPr="00307122">
        <w:rPr>
          <w:b/>
          <w:i w:val="0"/>
          <w:color w:val="auto"/>
          <w:lang w:val="pl-PL"/>
        </w:rPr>
        <w:fldChar w:fldCharType="end"/>
      </w:r>
      <w:r w:rsidRPr="00307122">
        <w:rPr>
          <w:b/>
          <w:i w:val="0"/>
          <w:color w:val="auto"/>
          <w:lang w:val="pl-PL"/>
        </w:rPr>
        <w:t xml:space="preserve"> Wielkość </w:t>
      </w:r>
      <w:r>
        <w:rPr>
          <w:b/>
          <w:i w:val="0"/>
          <w:color w:val="auto"/>
          <w:lang w:val="pl-PL"/>
        </w:rPr>
        <w:t xml:space="preserve">populacji pacjentów w zaawansowanym stadium </w:t>
      </w:r>
      <w:proofErr w:type="spellStart"/>
      <w:r>
        <w:rPr>
          <w:b/>
          <w:i w:val="0"/>
          <w:color w:val="auto"/>
          <w:lang w:val="pl-PL"/>
        </w:rPr>
        <w:t>PChN</w:t>
      </w:r>
      <w:proofErr w:type="spellEnd"/>
      <w:r>
        <w:rPr>
          <w:b/>
          <w:i w:val="0"/>
          <w:color w:val="auto"/>
          <w:lang w:val="pl-PL"/>
        </w:rPr>
        <w:t xml:space="preserve"> w </w:t>
      </w:r>
      <w:r w:rsidRPr="00307122">
        <w:rPr>
          <w:b/>
          <w:i w:val="0"/>
          <w:color w:val="auto"/>
          <w:lang w:val="pl-PL"/>
        </w:rPr>
        <w:t>analizowanych scenarius</w:t>
      </w:r>
      <w:r>
        <w:rPr>
          <w:b/>
          <w:i w:val="0"/>
          <w:color w:val="auto"/>
          <w:lang w:val="pl-PL"/>
        </w:rPr>
        <w:t>zach</w:t>
      </w:r>
      <w:bookmarkEnd w:id="589"/>
      <w:r>
        <w:rPr>
          <w:b/>
          <w:i w:val="0"/>
          <w:color w:val="auto"/>
          <w:lang w:val="pl-PL"/>
        </w:rPr>
        <w:t xml:space="preserve"> </w:t>
      </w:r>
    </w:p>
    <w:p w14:paraId="292B4969" w14:textId="4BBAD2D7" w:rsidR="00535CBB" w:rsidRDefault="00535CBB" w:rsidP="00060165">
      <w:pPr>
        <w:rPr>
          <w:lang w:val="pl-PL"/>
        </w:rPr>
      </w:pPr>
      <w:r>
        <w:rPr>
          <w:noProof/>
          <w:lang w:val="pl-PL" w:eastAsia="pl-PL"/>
        </w:rPr>
        <w:drawing>
          <wp:inline distT="0" distB="0" distL="0" distR="0" wp14:anchorId="0555706F" wp14:editId="593750DB">
            <wp:extent cx="5760000" cy="14940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1494000"/>
                    </a:xfrm>
                    <a:prstGeom prst="rect">
                      <a:avLst/>
                    </a:prstGeom>
                    <a:noFill/>
                  </pic:spPr>
                </pic:pic>
              </a:graphicData>
            </a:graphic>
          </wp:inline>
        </w:drawing>
      </w:r>
    </w:p>
    <w:p w14:paraId="0EC83AA9" w14:textId="47A8BB99" w:rsidR="00535CBB" w:rsidRPr="00060165" w:rsidRDefault="00535CBB" w:rsidP="00060165">
      <w:pPr>
        <w:jc w:val="left"/>
        <w:rPr>
          <w:rFonts w:eastAsia="Calibri"/>
          <w:sz w:val="18"/>
          <w:szCs w:val="18"/>
          <w:lang w:val="pl-PL"/>
        </w:rPr>
      </w:pPr>
      <w:r w:rsidRPr="00307122">
        <w:rPr>
          <w:rFonts w:eastAsia="Calibri"/>
          <w:sz w:val="18"/>
          <w:szCs w:val="18"/>
          <w:lang w:val="pl-PL"/>
        </w:rPr>
        <w:t>Źródło: Opracowanie własne EY na podstawie dyskusji ze środowiskiem nefrologicznym</w:t>
      </w:r>
      <w:r w:rsidR="009D2979">
        <w:rPr>
          <w:rFonts w:eastAsia="Calibri"/>
          <w:sz w:val="18"/>
          <w:szCs w:val="18"/>
          <w:lang w:val="pl-PL"/>
        </w:rPr>
        <w:t xml:space="preserve"> oraz</w:t>
      </w:r>
      <w:r w:rsidR="009D2979" w:rsidRPr="00060165">
        <w:rPr>
          <w:rFonts w:eastAsia="Calibri"/>
          <w:sz w:val="18"/>
          <w:szCs w:val="18"/>
          <w:lang w:val="pl-PL"/>
        </w:rPr>
        <w:t xml:space="preserve"> Global </w:t>
      </w:r>
      <w:proofErr w:type="spellStart"/>
      <w:r w:rsidR="009D2979" w:rsidRPr="00C32441">
        <w:rPr>
          <w:rFonts w:eastAsia="Calibri"/>
          <w:sz w:val="18"/>
          <w:szCs w:val="18"/>
          <w:lang w:val="pl-PL"/>
        </w:rPr>
        <w:t>Prevalence</w:t>
      </w:r>
      <w:proofErr w:type="spellEnd"/>
      <w:r w:rsidR="009D2979" w:rsidRPr="00C32441">
        <w:rPr>
          <w:rFonts w:eastAsia="Calibri"/>
          <w:sz w:val="18"/>
          <w:szCs w:val="18"/>
          <w:lang w:val="pl-PL"/>
        </w:rPr>
        <w:t xml:space="preserve"> of </w:t>
      </w:r>
      <w:proofErr w:type="spellStart"/>
      <w:r w:rsidR="009D2979" w:rsidRPr="00060165">
        <w:rPr>
          <w:rFonts w:eastAsia="Calibri"/>
          <w:sz w:val="18"/>
          <w:szCs w:val="18"/>
          <w:lang w:val="pl-PL"/>
        </w:rPr>
        <w:t>Chronic</w:t>
      </w:r>
      <w:proofErr w:type="spellEnd"/>
      <w:r w:rsidR="009D2979" w:rsidRPr="00060165">
        <w:rPr>
          <w:rFonts w:eastAsia="Calibri"/>
          <w:sz w:val="18"/>
          <w:szCs w:val="18"/>
          <w:lang w:val="pl-PL"/>
        </w:rPr>
        <w:t xml:space="preserve"> </w:t>
      </w:r>
      <w:proofErr w:type="spellStart"/>
      <w:r w:rsidR="009D2979" w:rsidRPr="00060165">
        <w:rPr>
          <w:rFonts w:eastAsia="Calibri"/>
          <w:sz w:val="18"/>
          <w:szCs w:val="18"/>
          <w:lang w:val="pl-PL"/>
        </w:rPr>
        <w:t>Kidney</w:t>
      </w:r>
      <w:proofErr w:type="spellEnd"/>
      <w:r w:rsidR="009D2979" w:rsidRPr="00060165">
        <w:rPr>
          <w:rFonts w:eastAsia="Calibri"/>
          <w:sz w:val="18"/>
          <w:szCs w:val="18"/>
          <w:lang w:val="pl-PL"/>
        </w:rPr>
        <w:t xml:space="preserve"> </w:t>
      </w:r>
      <w:proofErr w:type="spellStart"/>
      <w:r w:rsidR="009D2979" w:rsidRPr="00060165">
        <w:rPr>
          <w:rFonts w:eastAsia="Calibri"/>
          <w:sz w:val="18"/>
          <w:szCs w:val="18"/>
          <w:lang w:val="pl-PL"/>
        </w:rPr>
        <w:t>Disease</w:t>
      </w:r>
      <w:proofErr w:type="spellEnd"/>
      <w:r w:rsidR="009D2979" w:rsidRPr="00060165">
        <w:rPr>
          <w:rFonts w:eastAsia="Calibri"/>
          <w:sz w:val="18"/>
          <w:szCs w:val="18"/>
          <w:lang w:val="pl-PL"/>
        </w:rPr>
        <w:t xml:space="preserve"> – A </w:t>
      </w:r>
      <w:proofErr w:type="spellStart"/>
      <w:r w:rsidR="009D2979" w:rsidRPr="00060165">
        <w:rPr>
          <w:rFonts w:eastAsia="Calibri"/>
          <w:sz w:val="18"/>
          <w:szCs w:val="18"/>
          <w:lang w:val="pl-PL"/>
        </w:rPr>
        <w:t>Systematic</w:t>
      </w:r>
      <w:proofErr w:type="spellEnd"/>
      <w:r w:rsidR="009D2979" w:rsidRPr="00060165">
        <w:rPr>
          <w:rFonts w:eastAsia="Calibri"/>
          <w:sz w:val="18"/>
          <w:szCs w:val="18"/>
          <w:lang w:val="pl-PL"/>
        </w:rPr>
        <w:t xml:space="preserve"> </w:t>
      </w:r>
      <w:proofErr w:type="spellStart"/>
      <w:r w:rsidR="009D2979" w:rsidRPr="00060165">
        <w:rPr>
          <w:rFonts w:eastAsia="Calibri"/>
          <w:sz w:val="18"/>
          <w:szCs w:val="18"/>
          <w:lang w:val="pl-PL"/>
        </w:rPr>
        <w:t>Review</w:t>
      </w:r>
      <w:proofErr w:type="spellEnd"/>
      <w:r w:rsidR="009D2979" w:rsidRPr="00060165">
        <w:rPr>
          <w:rFonts w:eastAsia="Calibri"/>
          <w:sz w:val="18"/>
          <w:szCs w:val="18"/>
          <w:lang w:val="pl-PL"/>
        </w:rPr>
        <w:t xml:space="preserve"> and Meta-Analysis</w:t>
      </w:r>
      <w:r w:rsidR="009D2979" w:rsidRPr="00C32441">
        <w:rPr>
          <w:rFonts w:eastAsia="Calibri"/>
          <w:sz w:val="18"/>
          <w:szCs w:val="18"/>
          <w:lang w:val="pl-PL"/>
        </w:rPr>
        <w:t xml:space="preserve"> </w:t>
      </w:r>
      <w:r w:rsidR="009D2979" w:rsidRPr="00060165">
        <w:rPr>
          <w:rFonts w:eastAsia="Calibri"/>
          <w:sz w:val="18"/>
          <w:szCs w:val="18"/>
          <w:lang w:val="pl-PL"/>
        </w:rPr>
        <w:t>(</w:t>
      </w:r>
      <w:r w:rsidR="003144C1" w:rsidRPr="00835025">
        <w:rPr>
          <w:rFonts w:eastAsia="Calibri"/>
          <w:lang w:val="pl-PL"/>
        </w:rPr>
        <w:t>https://www.ncbi.nlm.nih.gov/pmc/articles/PMC4934905/</w:t>
      </w:r>
      <w:r w:rsidR="009D2979" w:rsidRPr="00060165">
        <w:rPr>
          <w:rFonts w:eastAsia="Calibri"/>
          <w:sz w:val="18"/>
          <w:szCs w:val="18"/>
          <w:lang w:val="pl-PL"/>
        </w:rPr>
        <w:t xml:space="preserve"> )</w:t>
      </w:r>
    </w:p>
    <w:p w14:paraId="6E0D9C0F" w14:textId="234A96D4" w:rsidR="00E715C5" w:rsidRDefault="00E715C5" w:rsidP="00060165">
      <w:pPr>
        <w:rPr>
          <w:lang w:val="pl-PL"/>
        </w:rPr>
      </w:pPr>
      <w:r>
        <w:rPr>
          <w:lang w:val="pl-PL"/>
        </w:rPr>
        <w:t>Scenariusz 1 to najszersze podejście, w którym opieką koordynowaną zostaliby objęci pacjenci z grupy CKD 3b, CKD 4, CDK 5 oraz CKD 5d. Przy założeniu odpowiednio 25%, 50%, 60% i 100% penetracji w wymienionych grupach, szacuje się, że wielkość populacji objęta opieką koordynowaną to ponad 237 tysięcy pacjentów. Scenariusz 2 obejmuje pacjentów z grupy CKD 4, CDK 5 oraz CKD 5d. Przy założeniu takiej samej, jak w scenariuszu 1 penetracji, wielkość populacji objęta opieką koordynowaną to prawie 83,5 tysiąca pacjentów. Ostatni analizowany scenariusz 3 jest podejściem najbardziej konserwatywnym. Obejmuje pacjentów z grupy CKD 4 A3, CDK 5 oraz CKD 5d, czyli ponad 56,5 tysiąca chorych.</w:t>
      </w:r>
    </w:p>
    <w:p w14:paraId="54771F6A" w14:textId="51797896" w:rsidR="00E5060C" w:rsidRDefault="00E715C5" w:rsidP="00E5060C">
      <w:pPr>
        <w:rPr>
          <w:lang w:val="pl-PL"/>
        </w:rPr>
      </w:pPr>
      <w:r>
        <w:rPr>
          <w:lang w:val="pl-PL"/>
        </w:rPr>
        <w:lastRenderedPageBreak/>
        <w:t>Dla takich populacji oszacowano koszty opieki koordynowanej obejmującej moduły opisane powyż</w:t>
      </w:r>
      <w:r w:rsidR="00E5060C">
        <w:rPr>
          <w:lang w:val="pl-PL"/>
        </w:rPr>
        <w:t>ej (moduł A</w:t>
      </w:r>
      <w:r w:rsidR="00F3768A">
        <w:rPr>
          <w:lang w:val="pl-PL"/>
        </w:rPr>
        <w:t>/moduł AA</w:t>
      </w:r>
      <w:r w:rsidR="00E5060C">
        <w:rPr>
          <w:lang w:val="pl-PL"/>
        </w:rPr>
        <w:t>, moduł B i moduł C), w szczególności obejmujące:</w:t>
      </w:r>
    </w:p>
    <w:p w14:paraId="280E18A3" w14:textId="59EBBBE3"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opiekę koordynatora</w:t>
      </w:r>
    </w:p>
    <w:p w14:paraId="35B7740C" w14:textId="18C1F4CE"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porady nefrologiczne</w:t>
      </w:r>
    </w:p>
    <w:p w14:paraId="6C7CEAE5" w14:textId="2F31BE5D"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leczenie nerkozastępcze</w:t>
      </w:r>
    </w:p>
    <w:p w14:paraId="0E9C89FE" w14:textId="77777777"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odpowiedzialność za dostępy</w:t>
      </w:r>
    </w:p>
    <w:p w14:paraId="0F4C3B6C" w14:textId="0BAD1B09"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regulację gospodarki wapniowo-fosforanowej</w:t>
      </w:r>
    </w:p>
    <w:p w14:paraId="7A9044D2" w14:textId="2496E106"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leczenie niedokrwistości</w:t>
      </w:r>
    </w:p>
    <w:p w14:paraId="4393D0E7" w14:textId="238AF53B"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świadczenia uzupełniające (opieka dietetyka, opieka psychologa, edukacja, zabiegi fizjoterapeutyczne)</w:t>
      </w:r>
    </w:p>
    <w:p w14:paraId="0A5B60C6" w14:textId="53970F54" w:rsidR="00E5060C" w:rsidRDefault="00F3768A" w:rsidP="00060165">
      <w:pPr>
        <w:rPr>
          <w:lang w:val="pl-PL"/>
        </w:rPr>
      </w:pPr>
      <w:r>
        <w:rPr>
          <w:lang w:val="pl-PL"/>
        </w:rPr>
        <w:t>Uwzględniając moduł A (obejmują</w:t>
      </w:r>
      <w:r w:rsidR="003144C1">
        <w:rPr>
          <w:lang w:val="pl-PL"/>
        </w:rPr>
        <w:t>cy</w:t>
      </w:r>
      <w:r>
        <w:rPr>
          <w:lang w:val="pl-PL"/>
        </w:rPr>
        <w:t xml:space="preserve"> dodatkowe porady nefrologiczne dla pacjentów dializowanych),</w:t>
      </w:r>
      <w:r w:rsidR="00E46B14">
        <w:rPr>
          <w:lang w:val="pl-PL"/>
        </w:rPr>
        <w:t xml:space="preserve"> moduł B i moduł C (w trzech wariantach),</w:t>
      </w:r>
      <w:r>
        <w:rPr>
          <w:lang w:val="pl-PL"/>
        </w:rPr>
        <w:t xml:space="preserve"> ś</w:t>
      </w:r>
      <w:r w:rsidR="00E715C5">
        <w:rPr>
          <w:lang w:val="pl-PL"/>
        </w:rPr>
        <w:t xml:space="preserve">redni roczny koszt opieki koordynowanej </w:t>
      </w:r>
      <w:r w:rsidR="00E5060C">
        <w:rPr>
          <w:lang w:val="pl-PL"/>
        </w:rPr>
        <w:t xml:space="preserve">na jednego pacjenta </w:t>
      </w:r>
      <w:r w:rsidR="00E715C5">
        <w:rPr>
          <w:lang w:val="pl-PL"/>
        </w:rPr>
        <w:t>oszacowano na</w:t>
      </w:r>
      <w:r w:rsidR="0043440C">
        <w:rPr>
          <w:lang w:val="pl-PL"/>
        </w:rPr>
        <w:t xml:space="preserve"> poziomie</w:t>
      </w:r>
      <w:r w:rsidR="00E5060C">
        <w:rPr>
          <w:lang w:val="pl-PL"/>
        </w:rPr>
        <w:t>:</w:t>
      </w:r>
    </w:p>
    <w:p w14:paraId="7F8912D0" w14:textId="57EEA036" w:rsidR="00E715C5" w:rsidRPr="00060165" w:rsidRDefault="00E715C5" w:rsidP="00060165">
      <w:pPr>
        <w:pStyle w:val="EYBulletedList1"/>
        <w:numPr>
          <w:ilvl w:val="0"/>
          <w:numId w:val="11"/>
        </w:numPr>
        <w:jc w:val="both"/>
        <w:rPr>
          <w:rFonts w:eastAsia="Calibri"/>
          <w:sz w:val="22"/>
          <w:lang w:val="pl-PL"/>
        </w:rPr>
      </w:pPr>
      <w:r w:rsidRPr="00060165">
        <w:rPr>
          <w:rFonts w:eastAsia="Calibri"/>
          <w:sz w:val="22"/>
          <w:lang w:val="pl-PL"/>
        </w:rPr>
        <w:t xml:space="preserve">ok. </w:t>
      </w:r>
      <w:r w:rsidR="00E5060C" w:rsidRPr="00060165">
        <w:rPr>
          <w:rFonts w:eastAsia="Calibri"/>
          <w:sz w:val="22"/>
          <w:lang w:val="pl-PL"/>
        </w:rPr>
        <w:t>7 tysięcy PLN w scenariuszu 1</w:t>
      </w:r>
      <w:r w:rsidR="00675729">
        <w:rPr>
          <w:rFonts w:eastAsia="Calibri"/>
          <w:sz w:val="22"/>
          <w:lang w:val="pl-PL"/>
        </w:rPr>
        <w:t xml:space="preserve"> (A+B+C1)</w:t>
      </w:r>
    </w:p>
    <w:p w14:paraId="74249E58" w14:textId="6ABE9D32" w:rsidR="00E5060C" w:rsidRPr="00060165" w:rsidRDefault="00E5060C" w:rsidP="00060165">
      <w:pPr>
        <w:pStyle w:val="EYBulletedList1"/>
        <w:numPr>
          <w:ilvl w:val="0"/>
          <w:numId w:val="11"/>
        </w:numPr>
        <w:jc w:val="both"/>
        <w:rPr>
          <w:rFonts w:eastAsia="Calibri"/>
          <w:lang w:val="pl-PL"/>
        </w:rPr>
      </w:pPr>
      <w:r w:rsidRPr="00060165">
        <w:rPr>
          <w:rFonts w:eastAsia="Calibri"/>
          <w:sz w:val="22"/>
          <w:lang w:val="pl-PL"/>
        </w:rPr>
        <w:t>ok. 18,3 tysięcy PLN w scenariuszu 2</w:t>
      </w:r>
      <w:r w:rsidR="00675729">
        <w:rPr>
          <w:rFonts w:eastAsia="Calibri"/>
          <w:sz w:val="22"/>
          <w:lang w:val="pl-PL"/>
        </w:rPr>
        <w:t xml:space="preserve"> (A+B+C2)</w:t>
      </w:r>
    </w:p>
    <w:p w14:paraId="48A3A08F" w14:textId="30B6160A" w:rsidR="00E715C5" w:rsidRPr="00060165" w:rsidRDefault="00E5060C" w:rsidP="00060165">
      <w:pPr>
        <w:pStyle w:val="EYBulletedList1"/>
        <w:numPr>
          <w:ilvl w:val="0"/>
          <w:numId w:val="11"/>
        </w:numPr>
        <w:jc w:val="both"/>
        <w:rPr>
          <w:rFonts w:eastAsia="Calibri"/>
          <w:i/>
          <w:sz w:val="22"/>
          <w:lang w:val="pl-PL"/>
        </w:rPr>
      </w:pPr>
      <w:r w:rsidRPr="00060165">
        <w:rPr>
          <w:rFonts w:eastAsia="Calibri"/>
          <w:sz w:val="22"/>
          <w:lang w:val="pl-PL"/>
        </w:rPr>
        <w:t>ok. 26,6 tysięcy PLN w scenariuszu 3</w:t>
      </w:r>
      <w:r w:rsidR="00675729">
        <w:rPr>
          <w:rFonts w:eastAsia="Calibri"/>
          <w:sz w:val="22"/>
          <w:lang w:val="pl-PL"/>
        </w:rPr>
        <w:t xml:space="preserve"> (A+B+C3)</w:t>
      </w:r>
    </w:p>
    <w:p w14:paraId="2BD0146D" w14:textId="5178D624" w:rsidR="003C7D89" w:rsidRDefault="003C7D89" w:rsidP="00060165">
      <w:pPr>
        <w:pStyle w:val="Legenda"/>
        <w:keepNext/>
        <w:rPr>
          <w:b/>
          <w:lang w:val="pl-PL"/>
        </w:rPr>
      </w:pPr>
      <w:bookmarkStart w:id="590" w:name="_Toc486537990"/>
      <w:r w:rsidRPr="007254A8">
        <w:rPr>
          <w:b/>
          <w:i w:val="0"/>
          <w:color w:val="auto"/>
          <w:lang w:val="pl-PL"/>
        </w:rPr>
        <w:t xml:space="preserve">Tabela </w:t>
      </w:r>
      <w:r w:rsidRPr="007254A8">
        <w:rPr>
          <w:b/>
          <w:i w:val="0"/>
          <w:color w:val="auto"/>
          <w:lang w:val="pl-PL"/>
        </w:rPr>
        <w:fldChar w:fldCharType="begin"/>
      </w:r>
      <w:r w:rsidRPr="007254A8">
        <w:rPr>
          <w:b/>
          <w:i w:val="0"/>
          <w:color w:val="auto"/>
          <w:lang w:val="pl-PL"/>
        </w:rPr>
        <w:instrText xml:space="preserve"> SEQ Tabela \* ARABIC </w:instrText>
      </w:r>
      <w:r w:rsidRPr="007254A8">
        <w:rPr>
          <w:b/>
          <w:i w:val="0"/>
          <w:color w:val="auto"/>
          <w:lang w:val="pl-PL"/>
        </w:rPr>
        <w:fldChar w:fldCharType="separate"/>
      </w:r>
      <w:r w:rsidR="005C7285">
        <w:rPr>
          <w:b/>
          <w:i w:val="0"/>
          <w:noProof/>
          <w:color w:val="auto"/>
          <w:lang w:val="pl-PL"/>
        </w:rPr>
        <w:t>27</w:t>
      </w:r>
      <w:r w:rsidRPr="007254A8">
        <w:rPr>
          <w:b/>
          <w:i w:val="0"/>
          <w:color w:val="auto"/>
          <w:lang w:val="pl-PL"/>
        </w:rPr>
        <w:fldChar w:fldCharType="end"/>
      </w:r>
      <w:r w:rsidRPr="007254A8">
        <w:rPr>
          <w:b/>
          <w:i w:val="0"/>
          <w:color w:val="auto"/>
          <w:lang w:val="pl-PL"/>
        </w:rPr>
        <w:t xml:space="preserve"> </w:t>
      </w:r>
      <w:r>
        <w:rPr>
          <w:b/>
          <w:i w:val="0"/>
          <w:color w:val="auto"/>
          <w:lang w:val="pl-PL"/>
        </w:rPr>
        <w:t>Koszty roczne opieki koordynowanej per pacjent w analizowanych scenariuszach</w:t>
      </w:r>
      <w:r w:rsidR="00F3768A">
        <w:rPr>
          <w:b/>
          <w:i w:val="0"/>
          <w:color w:val="auto"/>
          <w:lang w:val="pl-PL"/>
        </w:rPr>
        <w:t xml:space="preserve"> z modułem A</w:t>
      </w:r>
      <w:bookmarkEnd w:id="590"/>
    </w:p>
    <w:p w14:paraId="4378695B" w14:textId="0FE59097" w:rsidR="000837CB" w:rsidRPr="00512A13" w:rsidRDefault="003C7D89" w:rsidP="000008CD">
      <w:pPr>
        <w:pStyle w:val="EYBulletedList1"/>
        <w:numPr>
          <w:ilvl w:val="0"/>
          <w:numId w:val="0"/>
        </w:numPr>
        <w:ind w:left="288"/>
        <w:jc w:val="both"/>
        <w:rPr>
          <w:rFonts w:eastAsia="Calibri"/>
          <w:lang w:val="pl-PL"/>
        </w:rPr>
      </w:pPr>
      <w:r>
        <w:rPr>
          <w:rFonts w:eastAsia="Calibri"/>
          <w:noProof/>
          <w:lang w:val="pl-PL" w:eastAsia="pl-PL"/>
        </w:rPr>
        <w:drawing>
          <wp:inline distT="0" distB="0" distL="0" distR="0" wp14:anchorId="3A8E3473" wp14:editId="1DF7C268">
            <wp:extent cx="6109200" cy="1159200"/>
            <wp:effectExtent l="0" t="0" r="635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9200" cy="1159200"/>
                    </a:xfrm>
                    <a:prstGeom prst="rect">
                      <a:avLst/>
                    </a:prstGeom>
                    <a:noFill/>
                  </pic:spPr>
                </pic:pic>
              </a:graphicData>
            </a:graphic>
          </wp:inline>
        </w:drawing>
      </w:r>
    </w:p>
    <w:p w14:paraId="707B7064" w14:textId="77777777" w:rsidR="003C7D89" w:rsidRPr="00307122" w:rsidRDefault="003C7D89" w:rsidP="003C7D89">
      <w:pPr>
        <w:rPr>
          <w:rFonts w:eastAsia="Calibri"/>
          <w:sz w:val="18"/>
          <w:lang w:val="pl-PL"/>
        </w:rPr>
      </w:pPr>
      <w:r w:rsidRPr="00307122">
        <w:rPr>
          <w:rFonts w:eastAsia="Calibri"/>
          <w:sz w:val="18"/>
          <w:lang w:val="pl-PL"/>
        </w:rPr>
        <w:t>Źródło: Opracowanie własne EY</w:t>
      </w:r>
    </w:p>
    <w:p w14:paraId="1000D0E0" w14:textId="418FEF62" w:rsidR="00F3768A" w:rsidRDefault="00F3768A" w:rsidP="00F3768A">
      <w:pPr>
        <w:rPr>
          <w:lang w:val="pl-PL"/>
        </w:rPr>
      </w:pPr>
      <w:r>
        <w:rPr>
          <w:lang w:val="pl-PL"/>
        </w:rPr>
        <w:t>Uwzględniając moduł AA (nie obejmujący dodatkowych porad nefrologiczn</w:t>
      </w:r>
      <w:r w:rsidR="003144C1">
        <w:rPr>
          <w:lang w:val="pl-PL"/>
        </w:rPr>
        <w:t>ych</w:t>
      </w:r>
      <w:r>
        <w:rPr>
          <w:lang w:val="pl-PL"/>
        </w:rPr>
        <w:t xml:space="preserve"> dla pacjentów dializowanych),</w:t>
      </w:r>
      <w:r w:rsidR="00E46B14">
        <w:rPr>
          <w:lang w:val="pl-PL"/>
        </w:rPr>
        <w:t xml:space="preserve"> moduł B i moduł C (w trzech wariantach),</w:t>
      </w:r>
      <w:r>
        <w:rPr>
          <w:lang w:val="pl-PL"/>
        </w:rPr>
        <w:t xml:space="preserve"> średni roczny koszt opieki koordynowanej na jednego pacjenta oszacowano na poziomie:</w:t>
      </w:r>
    </w:p>
    <w:p w14:paraId="0A59D468" w14:textId="231373F2" w:rsidR="00F3768A" w:rsidRPr="00060165" w:rsidRDefault="00F3768A" w:rsidP="00F3768A">
      <w:pPr>
        <w:pStyle w:val="EYBulletedList1"/>
        <w:numPr>
          <w:ilvl w:val="0"/>
          <w:numId w:val="11"/>
        </w:numPr>
        <w:jc w:val="both"/>
        <w:rPr>
          <w:rFonts w:eastAsia="Calibri"/>
          <w:sz w:val="22"/>
          <w:lang w:val="pl-PL"/>
        </w:rPr>
      </w:pPr>
      <w:r w:rsidRPr="00060165">
        <w:rPr>
          <w:rFonts w:eastAsia="Calibri"/>
          <w:sz w:val="22"/>
          <w:lang w:val="pl-PL"/>
        </w:rPr>
        <w:t xml:space="preserve">ok. </w:t>
      </w:r>
      <w:r>
        <w:rPr>
          <w:rFonts w:eastAsia="Calibri"/>
          <w:sz w:val="22"/>
          <w:lang w:val="pl-PL"/>
        </w:rPr>
        <w:t>6,8</w:t>
      </w:r>
      <w:r w:rsidRPr="00060165">
        <w:rPr>
          <w:rFonts w:eastAsia="Calibri"/>
          <w:sz w:val="22"/>
          <w:lang w:val="pl-PL"/>
        </w:rPr>
        <w:t xml:space="preserve"> tysięcy PLN w scenariuszu 1</w:t>
      </w:r>
      <w:r w:rsidR="00675729">
        <w:rPr>
          <w:rFonts w:eastAsia="Calibri"/>
          <w:sz w:val="22"/>
          <w:lang w:val="pl-PL"/>
        </w:rPr>
        <w:t xml:space="preserve"> (AA+B+C1)</w:t>
      </w:r>
    </w:p>
    <w:p w14:paraId="333641A5" w14:textId="1687C24F" w:rsidR="00F3768A" w:rsidRPr="00060165" w:rsidRDefault="00F3768A" w:rsidP="00F3768A">
      <w:pPr>
        <w:pStyle w:val="EYBulletedList1"/>
        <w:numPr>
          <w:ilvl w:val="0"/>
          <w:numId w:val="11"/>
        </w:numPr>
        <w:jc w:val="both"/>
        <w:rPr>
          <w:rFonts w:eastAsia="Calibri"/>
          <w:lang w:val="pl-PL"/>
        </w:rPr>
      </w:pPr>
      <w:r>
        <w:rPr>
          <w:rFonts w:eastAsia="Calibri"/>
          <w:sz w:val="22"/>
          <w:lang w:val="pl-PL"/>
        </w:rPr>
        <w:t>ok. 17,8</w:t>
      </w:r>
      <w:r w:rsidRPr="00060165">
        <w:rPr>
          <w:rFonts w:eastAsia="Calibri"/>
          <w:sz w:val="22"/>
          <w:lang w:val="pl-PL"/>
        </w:rPr>
        <w:t xml:space="preserve"> tysięcy PLN w scenariuszu 2</w:t>
      </w:r>
      <w:r w:rsidR="00675729">
        <w:rPr>
          <w:rFonts w:eastAsia="Calibri"/>
          <w:sz w:val="22"/>
          <w:lang w:val="pl-PL"/>
        </w:rPr>
        <w:t xml:space="preserve"> (AA+B+C2)</w:t>
      </w:r>
    </w:p>
    <w:p w14:paraId="26F44CA5" w14:textId="0FFA23B4" w:rsidR="00F3768A" w:rsidRPr="00835025" w:rsidRDefault="00F3768A" w:rsidP="00835025">
      <w:pPr>
        <w:pStyle w:val="EYBulletedList1"/>
        <w:numPr>
          <w:ilvl w:val="0"/>
          <w:numId w:val="11"/>
        </w:numPr>
        <w:jc w:val="both"/>
        <w:rPr>
          <w:rFonts w:eastAsia="Calibri"/>
          <w:i/>
          <w:lang w:val="pl-PL"/>
        </w:rPr>
      </w:pPr>
      <w:r>
        <w:rPr>
          <w:rFonts w:eastAsia="Calibri"/>
          <w:sz w:val="22"/>
          <w:lang w:val="pl-PL"/>
        </w:rPr>
        <w:t>ok. 25,7</w:t>
      </w:r>
      <w:r w:rsidRPr="00060165">
        <w:rPr>
          <w:rFonts w:eastAsia="Calibri"/>
          <w:sz w:val="22"/>
          <w:lang w:val="pl-PL"/>
        </w:rPr>
        <w:t xml:space="preserve"> tysięcy PLN w scenariuszu 3</w:t>
      </w:r>
      <w:r w:rsidR="00675729">
        <w:rPr>
          <w:rFonts w:eastAsia="Calibri"/>
          <w:sz w:val="22"/>
          <w:lang w:val="pl-PL"/>
        </w:rPr>
        <w:t xml:space="preserve"> (AA+B+C3)</w:t>
      </w:r>
    </w:p>
    <w:p w14:paraId="1A0F590A" w14:textId="1AB690F3" w:rsidR="00F3768A" w:rsidRPr="00835025" w:rsidRDefault="00F3768A" w:rsidP="00835025">
      <w:pPr>
        <w:pStyle w:val="Legenda"/>
        <w:keepNext/>
        <w:rPr>
          <w:lang w:val="pl-PL"/>
        </w:rPr>
      </w:pPr>
      <w:bookmarkStart w:id="591" w:name="_Toc486537991"/>
      <w:r w:rsidRPr="00835025">
        <w:rPr>
          <w:b/>
          <w:i w:val="0"/>
          <w:color w:val="auto"/>
          <w:lang w:val="pl-PL"/>
        </w:rPr>
        <w:t xml:space="preserve">Tabela </w:t>
      </w:r>
      <w:r w:rsidRPr="00835025">
        <w:rPr>
          <w:b/>
          <w:i w:val="0"/>
          <w:color w:val="auto"/>
          <w:lang w:val="pl-PL"/>
        </w:rPr>
        <w:fldChar w:fldCharType="begin"/>
      </w:r>
      <w:r w:rsidRPr="00835025">
        <w:rPr>
          <w:b/>
          <w:i w:val="0"/>
          <w:color w:val="auto"/>
          <w:lang w:val="pl-PL"/>
        </w:rPr>
        <w:instrText xml:space="preserve"> SEQ Tabela \* ARABIC </w:instrText>
      </w:r>
      <w:r w:rsidRPr="00835025">
        <w:rPr>
          <w:b/>
          <w:i w:val="0"/>
          <w:color w:val="auto"/>
          <w:lang w:val="pl-PL"/>
        </w:rPr>
        <w:fldChar w:fldCharType="separate"/>
      </w:r>
      <w:r w:rsidR="005C7285">
        <w:rPr>
          <w:b/>
          <w:i w:val="0"/>
          <w:noProof/>
          <w:color w:val="auto"/>
          <w:lang w:val="pl-PL"/>
        </w:rPr>
        <w:t>28</w:t>
      </w:r>
      <w:r w:rsidRPr="00835025">
        <w:rPr>
          <w:b/>
          <w:i w:val="0"/>
          <w:color w:val="auto"/>
          <w:lang w:val="pl-PL"/>
        </w:rPr>
        <w:fldChar w:fldCharType="end"/>
      </w:r>
      <w:r w:rsidRPr="00835025">
        <w:rPr>
          <w:b/>
          <w:i w:val="0"/>
          <w:color w:val="auto"/>
          <w:lang w:val="pl-PL"/>
        </w:rPr>
        <w:t xml:space="preserve"> </w:t>
      </w:r>
      <w:r>
        <w:rPr>
          <w:b/>
          <w:i w:val="0"/>
          <w:color w:val="auto"/>
          <w:lang w:val="pl-PL"/>
        </w:rPr>
        <w:t>Koszty roczne opieki koordynowanej per pacjent w analizowanych scenariuszach z modułem AA</w:t>
      </w:r>
      <w:bookmarkEnd w:id="591"/>
    </w:p>
    <w:p w14:paraId="052D1B2E" w14:textId="04D561F7" w:rsidR="00F3768A" w:rsidRDefault="00F3768A" w:rsidP="000A4419">
      <w:pPr>
        <w:rPr>
          <w:lang w:val="pl-PL"/>
        </w:rPr>
      </w:pPr>
      <w:r>
        <w:rPr>
          <w:noProof/>
          <w:lang w:val="pl-PL" w:eastAsia="pl-PL"/>
        </w:rPr>
        <w:drawing>
          <wp:inline distT="0" distB="0" distL="0" distR="0" wp14:anchorId="091BFACE" wp14:editId="2FD20971">
            <wp:extent cx="5733415" cy="1080135"/>
            <wp:effectExtent l="0" t="0" r="63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oszp per pacjent z modulem AA.PNG"/>
                    <pic:cNvPicPr/>
                  </pic:nvPicPr>
                  <pic:blipFill>
                    <a:blip r:embed="rId24">
                      <a:extLst>
                        <a:ext uri="{28A0092B-C50C-407E-A947-70E740481C1C}">
                          <a14:useLocalDpi xmlns:a14="http://schemas.microsoft.com/office/drawing/2010/main" val="0"/>
                        </a:ext>
                      </a:extLst>
                    </a:blip>
                    <a:stretch>
                      <a:fillRect/>
                    </a:stretch>
                  </pic:blipFill>
                  <pic:spPr>
                    <a:xfrm>
                      <a:off x="0" y="0"/>
                      <a:ext cx="5733415" cy="1080135"/>
                    </a:xfrm>
                    <a:prstGeom prst="rect">
                      <a:avLst/>
                    </a:prstGeom>
                  </pic:spPr>
                </pic:pic>
              </a:graphicData>
            </a:graphic>
          </wp:inline>
        </w:drawing>
      </w:r>
    </w:p>
    <w:p w14:paraId="3EB5435D" w14:textId="77777777" w:rsidR="00F3768A" w:rsidRPr="00307122" w:rsidRDefault="00F3768A" w:rsidP="00F3768A">
      <w:pPr>
        <w:rPr>
          <w:rFonts w:eastAsia="Calibri"/>
          <w:sz w:val="18"/>
          <w:lang w:val="pl-PL"/>
        </w:rPr>
      </w:pPr>
      <w:r w:rsidRPr="00307122">
        <w:rPr>
          <w:rFonts w:eastAsia="Calibri"/>
          <w:sz w:val="18"/>
          <w:lang w:val="pl-PL"/>
        </w:rPr>
        <w:lastRenderedPageBreak/>
        <w:t>Źródło: Opracowanie własne EY</w:t>
      </w:r>
    </w:p>
    <w:p w14:paraId="30A3FF04" w14:textId="77777777" w:rsidR="00F3768A" w:rsidRPr="009A76F3" w:rsidRDefault="00F3768A" w:rsidP="000A4419">
      <w:pPr>
        <w:rPr>
          <w:lang w:val="pl-PL"/>
        </w:rPr>
        <w:sectPr w:rsidR="00F3768A" w:rsidRPr="009A76F3" w:rsidSect="004E62AC">
          <w:headerReference w:type="default" r:id="rId25"/>
          <w:footerReference w:type="default" r:id="rId26"/>
          <w:pgSz w:w="11909" w:h="16834" w:code="9"/>
          <w:pgMar w:top="1440" w:right="1440" w:bottom="1440" w:left="1440" w:header="720" w:footer="720" w:gutter="0"/>
          <w:pgNumType w:start="1"/>
          <w:cols w:space="720"/>
          <w:docGrid w:linePitch="360"/>
        </w:sectPr>
      </w:pPr>
    </w:p>
    <w:p w14:paraId="28DA06DC" w14:textId="0E2E9943" w:rsidR="00355D6D" w:rsidRDefault="00097176" w:rsidP="00835025">
      <w:pPr>
        <w:pStyle w:val="EYHeading2"/>
        <w:numPr>
          <w:ilvl w:val="0"/>
          <w:numId w:val="0"/>
        </w:numPr>
        <w:rPr>
          <w:lang w:val="pl-PL"/>
        </w:rPr>
      </w:pPr>
      <w:bookmarkStart w:id="592" w:name="_Toc486537952"/>
      <w:r w:rsidRPr="00097176">
        <w:rPr>
          <w:rFonts w:eastAsia="Calibri"/>
          <w:color w:val="000000" w:themeColor="text1"/>
          <w:lang w:val="pl-PL"/>
        </w:rPr>
        <w:lastRenderedPageBreak/>
        <w:t xml:space="preserve">Załącznik nr 1 </w:t>
      </w:r>
      <w:r w:rsidR="009A76F3">
        <w:rPr>
          <w:rFonts w:eastAsia="Calibri"/>
          <w:color w:val="000000" w:themeColor="text1"/>
          <w:lang w:val="pl-PL"/>
        </w:rPr>
        <w:t xml:space="preserve">Opis świadczenia gwarantowanego wg modelu </w:t>
      </w:r>
      <w:proofErr w:type="spellStart"/>
      <w:r w:rsidR="009A76F3">
        <w:rPr>
          <w:rFonts w:eastAsia="Calibri"/>
          <w:color w:val="000000" w:themeColor="text1"/>
          <w:lang w:val="pl-PL"/>
        </w:rPr>
        <w:t>AOTMiT</w:t>
      </w:r>
      <w:proofErr w:type="spellEnd"/>
      <w:r w:rsidR="009A76F3">
        <w:rPr>
          <w:rFonts w:eastAsia="Calibri"/>
          <w:color w:val="000000" w:themeColor="text1"/>
          <w:lang w:val="pl-PL"/>
        </w:rPr>
        <w:t xml:space="preserve"> - </w:t>
      </w:r>
      <w:r w:rsidR="009A76F3">
        <w:rPr>
          <w:lang w:val="pl-PL"/>
        </w:rPr>
        <w:t>o</w:t>
      </w:r>
      <w:r w:rsidRPr="00097176">
        <w:rPr>
          <w:lang w:val="pl-PL"/>
        </w:rPr>
        <w:t xml:space="preserve">pieka koordynowana pacjentów </w:t>
      </w:r>
      <w:r w:rsidR="006D705E">
        <w:rPr>
          <w:lang w:val="pl-PL"/>
        </w:rPr>
        <w:br/>
      </w:r>
      <w:r w:rsidRPr="00097176">
        <w:rPr>
          <w:lang w:val="pl-PL"/>
        </w:rPr>
        <w:t>z przewleką chorobą nerek w stadium zaawansowanym</w:t>
      </w:r>
      <w:bookmarkEnd w:id="592"/>
      <w:r w:rsidRPr="00097176">
        <w:rPr>
          <w:lang w:val="pl-PL"/>
        </w:rPr>
        <w:t xml:space="preserve"> </w:t>
      </w:r>
    </w:p>
    <w:p w14:paraId="5CA20B6E" w14:textId="77777777" w:rsidR="00E54B2D" w:rsidRPr="00E54B2D" w:rsidRDefault="00E54B2D" w:rsidP="00E54B2D">
      <w:pPr>
        <w:widowControl/>
        <w:tabs>
          <w:tab w:val="right" w:pos="1735"/>
        </w:tabs>
        <w:autoSpaceDE/>
        <w:autoSpaceDN/>
        <w:adjustRightInd/>
        <w:spacing w:before="0" w:after="0" w:line="256" w:lineRule="auto"/>
        <w:jc w:val="left"/>
        <w:rPr>
          <w:rFonts w:eastAsia="Calibri"/>
          <w:b/>
          <w:bCs/>
          <w:color w:val="000000"/>
          <w:kern w:val="24"/>
          <w:sz w:val="20"/>
          <w:lang w:val="pl-PL" w:eastAsia="pl-PL"/>
        </w:rPr>
      </w:pPr>
      <w:r w:rsidRPr="00E54B2D">
        <w:rPr>
          <w:rFonts w:eastAsia="Calibri"/>
          <w:b/>
          <w:bCs/>
          <w:color w:val="000000"/>
          <w:kern w:val="24"/>
          <w:sz w:val="20"/>
          <w:lang w:val="pl-PL" w:eastAsia="pl-PL"/>
        </w:rPr>
        <w:t xml:space="preserve">Opieka koordynowana pacjentów z przewleką chorobą nerek w stadium zaawansowanym </w:t>
      </w:r>
    </w:p>
    <w:p w14:paraId="4F9D5DA4" w14:textId="77777777" w:rsidR="00E54B2D" w:rsidRPr="00E54B2D" w:rsidRDefault="00E54B2D" w:rsidP="00E54B2D">
      <w:pPr>
        <w:widowControl/>
        <w:tabs>
          <w:tab w:val="right" w:pos="1735"/>
        </w:tabs>
        <w:autoSpaceDE/>
        <w:autoSpaceDN/>
        <w:adjustRightInd/>
        <w:spacing w:before="0" w:after="0" w:line="256" w:lineRule="auto"/>
        <w:jc w:val="left"/>
        <w:rPr>
          <w:rFonts w:eastAsia="Calibri"/>
          <w:b/>
          <w:bCs/>
          <w:color w:val="000000"/>
          <w:kern w:val="24"/>
          <w:sz w:val="20"/>
          <w:lang w:val="pl-PL" w:eastAsia="pl-PL"/>
        </w:rPr>
      </w:pPr>
    </w:p>
    <w:tbl>
      <w:tblPr>
        <w:tblW w:w="14024" w:type="dxa"/>
        <w:tblCellMar>
          <w:left w:w="0" w:type="dxa"/>
          <w:right w:w="0" w:type="dxa"/>
        </w:tblCellMar>
        <w:tblLook w:val="04A0" w:firstRow="1" w:lastRow="0" w:firstColumn="1" w:lastColumn="0" w:noHBand="0" w:noVBand="1"/>
      </w:tblPr>
      <w:tblGrid>
        <w:gridCol w:w="2420"/>
        <w:gridCol w:w="3240"/>
        <w:gridCol w:w="1700"/>
        <w:gridCol w:w="6664"/>
      </w:tblGrid>
      <w:tr w:rsidR="00E54B2D" w:rsidRPr="00C57815" w14:paraId="2E99846D" w14:textId="77777777" w:rsidTr="005C0E8A">
        <w:trPr>
          <w:trHeight w:val="285"/>
        </w:trPr>
        <w:tc>
          <w:tcPr>
            <w:tcW w:w="24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31E3EE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b/>
                <w:bCs/>
                <w:kern w:val="24"/>
                <w:sz w:val="20"/>
                <w:lang w:val="pl-PL" w:eastAsia="pl-PL"/>
              </w:rPr>
              <w:t>Nazwa świadczenia gwarantowanego</w:t>
            </w:r>
          </w:p>
          <w:p w14:paraId="1A5F49EF" w14:textId="77777777" w:rsidR="00E54B2D" w:rsidRPr="00E54B2D" w:rsidRDefault="00E54B2D" w:rsidP="00E54B2D">
            <w:pPr>
              <w:widowControl/>
              <w:tabs>
                <w:tab w:val="right" w:pos="1735"/>
              </w:tabs>
              <w:autoSpaceDE/>
              <w:autoSpaceDN/>
              <w:adjustRightInd/>
              <w:spacing w:before="0" w:after="0" w:line="256" w:lineRule="auto"/>
              <w:jc w:val="left"/>
              <w:rPr>
                <w:rFonts w:eastAsia="Calibri"/>
                <w:b/>
                <w:bCs/>
                <w:kern w:val="24"/>
                <w:sz w:val="20"/>
                <w:lang w:val="pl-PL" w:eastAsia="pl-PL"/>
              </w:rPr>
            </w:pPr>
            <w:r w:rsidRPr="00E54B2D">
              <w:rPr>
                <w:rFonts w:eastAsia="Calibri"/>
                <w:b/>
                <w:bCs/>
                <w:kern w:val="24"/>
                <w:sz w:val="20"/>
                <w:lang w:val="pl-PL" w:eastAsia="pl-PL"/>
              </w:rPr>
              <w:t xml:space="preserve"> </w:t>
            </w:r>
          </w:p>
          <w:p w14:paraId="54A40388" w14:textId="77777777" w:rsidR="00E54B2D" w:rsidRPr="00E54B2D" w:rsidRDefault="00E54B2D" w:rsidP="00E54B2D">
            <w:pPr>
              <w:widowControl/>
              <w:tabs>
                <w:tab w:val="right" w:pos="1735"/>
              </w:tabs>
              <w:autoSpaceDE/>
              <w:autoSpaceDN/>
              <w:adjustRightInd/>
              <w:spacing w:before="0" w:after="0" w:line="256" w:lineRule="auto"/>
              <w:jc w:val="left"/>
              <w:rPr>
                <w:rFonts w:eastAsia="Calibri"/>
                <w:b/>
                <w:bCs/>
                <w:kern w:val="24"/>
                <w:sz w:val="20"/>
                <w:lang w:val="pl-PL" w:eastAsia="pl-PL"/>
              </w:rPr>
            </w:pPr>
            <w:r w:rsidRPr="00E54B2D">
              <w:rPr>
                <w:rFonts w:eastAsia="Calibri"/>
                <w:b/>
                <w:bCs/>
                <w:kern w:val="24"/>
                <w:sz w:val="20"/>
                <w:lang w:val="pl-PL" w:eastAsia="pl-PL"/>
              </w:rPr>
              <w:t xml:space="preserve">Opieka koordynowana pacjentów z przewleką chorobą nerek w stadium zaawansowanym </w:t>
            </w:r>
          </w:p>
          <w:p w14:paraId="33284A9B" w14:textId="77777777" w:rsidR="00E54B2D" w:rsidRPr="00E54B2D" w:rsidRDefault="00E54B2D" w:rsidP="00E54B2D">
            <w:pPr>
              <w:widowControl/>
              <w:tabs>
                <w:tab w:val="right" w:pos="1735"/>
              </w:tabs>
              <w:autoSpaceDE/>
              <w:autoSpaceDN/>
              <w:adjustRightInd/>
              <w:spacing w:before="0" w:after="0" w:line="256" w:lineRule="auto"/>
              <w:jc w:val="left"/>
              <w:rPr>
                <w:rFonts w:eastAsia="Calibri"/>
                <w:b/>
                <w:bCs/>
                <w:kern w:val="24"/>
                <w:sz w:val="20"/>
                <w:lang w:val="pl-PL" w:eastAsia="pl-PL"/>
              </w:rPr>
            </w:pPr>
            <w:r w:rsidRPr="00E54B2D">
              <w:rPr>
                <w:rFonts w:eastAsia="Calibri"/>
                <w:b/>
                <w:bCs/>
                <w:kern w:val="24"/>
                <w:sz w:val="20"/>
                <w:lang w:val="pl-PL" w:eastAsia="pl-PL"/>
              </w:rPr>
              <w:tab/>
            </w:r>
          </w:p>
          <w:p w14:paraId="2BC2D9C0"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-Kod świadczenia</w:t>
            </w:r>
          </w:p>
          <w:p w14:paraId="6D28727D"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-Typ świadczenia/ tryb (słownik)</w:t>
            </w:r>
          </w:p>
          <w:p w14:paraId="43BD1A26"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-Ustawowy zakres świadczenia (słowniki)</w:t>
            </w:r>
          </w:p>
          <w:p w14:paraId="48A0FDA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-Dodatkowy opis świadczenia</w:t>
            </w:r>
          </w:p>
        </w:tc>
        <w:tc>
          <w:tcPr>
            <w:tcW w:w="1160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32F749D"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b/>
                <w:bCs/>
                <w:kern w:val="24"/>
                <w:sz w:val="20"/>
                <w:lang w:val="pl-PL" w:eastAsia="pl-PL"/>
              </w:rPr>
              <w:t>I. Warunki uzyskania uprawnienia do świadczenia</w:t>
            </w:r>
          </w:p>
        </w:tc>
      </w:tr>
      <w:tr w:rsidR="00E54B2D" w:rsidRPr="00E54B2D" w14:paraId="545ADD5C"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7A17D2"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0F0C56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Wymogi formalne</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FD1F2C3"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Wystawca skierowania - Lekarz medycyny</w:t>
            </w:r>
          </w:p>
        </w:tc>
      </w:tr>
      <w:tr w:rsidR="00E54B2D" w:rsidRPr="00C57815" w14:paraId="0466F284"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EAE6F1"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1AAA8132"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A2B263F"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Wymagany rodzaj i zakres skierowania - skierowanie na leczenie do jednostki koordynującej zawierające: przyczynę skierowania pacjenta, rozpoznanie, kod jednostki chorobowej</w:t>
            </w:r>
          </w:p>
        </w:tc>
      </w:tr>
      <w:tr w:rsidR="00E54B2D" w:rsidRPr="00C57815" w14:paraId="145557D3"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726B32"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4C8754AD"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EC83FE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Załączone badania:</w:t>
            </w:r>
          </w:p>
          <w:p w14:paraId="6348263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proofErr w:type="spellStart"/>
            <w:r w:rsidRPr="00E54B2D">
              <w:rPr>
                <w:rFonts w:eastAsia="Calibri"/>
                <w:kern w:val="24"/>
                <w:sz w:val="20"/>
                <w:lang w:val="pl-PL" w:eastAsia="pl-PL"/>
              </w:rPr>
              <w:t>eGFR</w:t>
            </w:r>
            <w:proofErr w:type="spellEnd"/>
          </w:p>
          <w:p w14:paraId="61EF90F4"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proofErr w:type="spellStart"/>
            <w:r w:rsidRPr="00E54B2D">
              <w:rPr>
                <w:rFonts w:eastAsia="Calibri"/>
                <w:kern w:val="24"/>
                <w:sz w:val="20"/>
                <w:lang w:val="pl-PL" w:eastAsia="pl-PL"/>
              </w:rPr>
              <w:t>Hb</w:t>
            </w:r>
            <w:proofErr w:type="spellEnd"/>
          </w:p>
          <w:p w14:paraId="3E98D39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Albuminy</w:t>
            </w:r>
          </w:p>
          <w:p w14:paraId="07F9C70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Albuminuria</w:t>
            </w:r>
          </w:p>
        </w:tc>
      </w:tr>
      <w:tr w:rsidR="00E54B2D" w:rsidRPr="00E54B2D" w14:paraId="564FA213" w14:textId="77777777" w:rsidTr="005C0E8A">
        <w:trPr>
          <w:trHeight w:val="24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16EBEE"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6F65DEBA"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21E7A89"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 xml:space="preserve">Pozostałe warunki </w:t>
            </w:r>
          </w:p>
        </w:tc>
      </w:tr>
      <w:tr w:rsidR="00E54B2D" w:rsidRPr="00C57815" w14:paraId="077E8059" w14:textId="77777777" w:rsidTr="005C0E8A">
        <w:trPr>
          <w:trHeight w:val="2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09979B"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309F3F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Kryteria włączenia</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FE04E34"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Kod ICD-10/ innej klasyfikacji </w:t>
            </w:r>
          </w:p>
          <w:p w14:paraId="7B24D8B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N18 Przewlekła niewydolność nerek</w:t>
            </w:r>
          </w:p>
          <w:p w14:paraId="4F9AA45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N18.0 Schyłkowa niewydolność nerek</w:t>
            </w:r>
          </w:p>
          <w:p w14:paraId="7A9EAE5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N18.8 Inna przewlekła niewydolność nerek</w:t>
            </w:r>
          </w:p>
          <w:p w14:paraId="3492FD33"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N18.9 Przewlekła niewydolność nerek, nieokreślona</w:t>
            </w:r>
          </w:p>
          <w:p w14:paraId="06084CFF" w14:textId="1CD48486" w:rsidR="00E54B2D" w:rsidRPr="00E54B2D" w:rsidRDefault="00E54B2D" w:rsidP="00675729">
            <w:pPr>
              <w:widowControl/>
              <w:autoSpaceDE/>
              <w:autoSpaceDN/>
              <w:adjustRightInd/>
              <w:spacing w:before="0" w:after="0" w:line="256" w:lineRule="auto"/>
              <w:jc w:val="left"/>
              <w:rPr>
                <w:sz w:val="20"/>
                <w:lang w:val="pl-PL" w:eastAsia="pl-PL"/>
              </w:rPr>
            </w:pPr>
            <w:r w:rsidRPr="00E54B2D">
              <w:rPr>
                <w:sz w:val="20"/>
                <w:lang w:val="pl-PL" w:eastAsia="pl-PL"/>
              </w:rPr>
              <w:t xml:space="preserve">Stopień zaawansowania choroby: (G3b, G4, G5) lub (G4, G5) lub (G4A3,G5) (w zależności od wybranego </w:t>
            </w:r>
            <w:r w:rsidR="00675729">
              <w:rPr>
                <w:sz w:val="20"/>
                <w:lang w:val="pl-PL" w:eastAsia="pl-PL"/>
              </w:rPr>
              <w:t>wariantu modułu C</w:t>
            </w:r>
            <w:r w:rsidRPr="00E54B2D">
              <w:rPr>
                <w:sz w:val="20"/>
                <w:lang w:val="pl-PL" w:eastAsia="pl-PL"/>
              </w:rPr>
              <w:t>)</w:t>
            </w:r>
          </w:p>
        </w:tc>
      </w:tr>
      <w:tr w:rsidR="00E54B2D" w:rsidRPr="00C57815" w14:paraId="33B57FF6" w14:textId="77777777" w:rsidTr="005C0E8A">
        <w:trPr>
          <w:trHeight w:val="2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E822B"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16A46911"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C5F628E"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Opis ICD-10/ innej klasyfikacji</w:t>
            </w:r>
          </w:p>
          <w:p w14:paraId="3254AFF6"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Pacjenci wymagający leczenia nerkozastępczego w formie dializoterapii</w:t>
            </w:r>
          </w:p>
          <w:p w14:paraId="75EF4A0E"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Wskazania do rozpoczęcia dializ obejmują:</w:t>
            </w:r>
          </w:p>
          <w:p w14:paraId="77F8E52E"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1) objawy kliniczne mocznicy (bezwzględne: mocznicowe zapalenie osierdzia, opłucnej i encefalopatia)</w:t>
            </w:r>
          </w:p>
          <w:p w14:paraId="227D1DB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2) </w:t>
            </w:r>
            <w:proofErr w:type="spellStart"/>
            <w:r w:rsidRPr="00E54B2D">
              <w:rPr>
                <w:rFonts w:eastAsia="Calibri"/>
                <w:kern w:val="24"/>
                <w:sz w:val="20"/>
                <w:lang w:val="pl-PL" w:eastAsia="pl-PL"/>
              </w:rPr>
              <w:t>przewodnienie</w:t>
            </w:r>
            <w:proofErr w:type="spellEnd"/>
            <w:r w:rsidRPr="00E54B2D">
              <w:rPr>
                <w:rFonts w:eastAsia="Calibri"/>
                <w:kern w:val="24"/>
                <w:sz w:val="20"/>
                <w:lang w:val="pl-PL" w:eastAsia="pl-PL"/>
              </w:rPr>
              <w:t xml:space="preserve"> niereagujące na leczenie farmakologiczne</w:t>
            </w:r>
          </w:p>
          <w:p w14:paraId="34E9764E"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3) oporne na leczenie nadciśnienie tętnicze</w:t>
            </w:r>
          </w:p>
          <w:p w14:paraId="7B6C681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4) hiperkaliemia niereagująca na leczenie farmakologiczne</w:t>
            </w:r>
          </w:p>
          <w:p w14:paraId="08E27827"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5) wysoka </w:t>
            </w:r>
            <w:proofErr w:type="spellStart"/>
            <w:r w:rsidRPr="00E54B2D">
              <w:rPr>
                <w:rFonts w:eastAsia="Calibri"/>
                <w:kern w:val="24"/>
                <w:sz w:val="20"/>
                <w:lang w:val="pl-PL" w:eastAsia="pl-PL"/>
              </w:rPr>
              <w:t>hiperfosfatemia</w:t>
            </w:r>
            <w:proofErr w:type="spellEnd"/>
          </w:p>
          <w:p w14:paraId="73282763"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6) ciężka kwasica </w:t>
            </w:r>
            <w:proofErr w:type="spellStart"/>
            <w:r w:rsidRPr="00E54B2D">
              <w:rPr>
                <w:rFonts w:eastAsia="Calibri"/>
                <w:kern w:val="24"/>
                <w:sz w:val="20"/>
                <w:lang w:val="pl-PL" w:eastAsia="pl-PL"/>
              </w:rPr>
              <w:t>nieoddechowa</w:t>
            </w:r>
            <w:proofErr w:type="spellEnd"/>
            <w:r w:rsidRPr="00E54B2D">
              <w:rPr>
                <w:rFonts w:eastAsia="Calibri"/>
                <w:kern w:val="24"/>
                <w:sz w:val="20"/>
                <w:lang w:val="pl-PL" w:eastAsia="pl-PL"/>
              </w:rPr>
              <w:t xml:space="preserve"> (metaboliczna)</w:t>
            </w:r>
          </w:p>
          <w:p w14:paraId="667BFC2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lastRenderedPageBreak/>
              <w:t>7) obniżenie filtracji kłębuszkowej (</w:t>
            </w:r>
            <w:proofErr w:type="spellStart"/>
            <w:r w:rsidRPr="00E54B2D">
              <w:rPr>
                <w:rFonts w:eastAsia="Calibri"/>
                <w:kern w:val="24"/>
                <w:sz w:val="20"/>
                <w:lang w:val="pl-PL" w:eastAsia="pl-PL"/>
              </w:rPr>
              <w:t>eGFR</w:t>
            </w:r>
            <w:proofErr w:type="spellEnd"/>
            <w:r w:rsidRPr="00E54B2D">
              <w:rPr>
                <w:rFonts w:eastAsia="Calibri"/>
                <w:kern w:val="24"/>
                <w:sz w:val="20"/>
                <w:lang w:val="pl-PL" w:eastAsia="pl-PL"/>
              </w:rPr>
              <w:t>) określanej przy pomocy skróconego wzoru MDRD:</w:t>
            </w:r>
          </w:p>
          <w:p w14:paraId="3D8508F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poniżej 15 ml/ min u pacjentów bez innych objawów, bez cukrzycy albo poniżej 20 ml/ min u pacjentów z cukrzycą</w:t>
            </w:r>
          </w:p>
        </w:tc>
      </w:tr>
      <w:tr w:rsidR="00E54B2D" w:rsidRPr="00E54B2D" w14:paraId="17CACB19"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FADBDB"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36D13215"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27B1B16"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Opis dodatkowy</w:t>
            </w:r>
          </w:p>
        </w:tc>
      </w:tr>
      <w:tr w:rsidR="00E54B2D" w:rsidRPr="00C57815" w14:paraId="46B34B10" w14:textId="77777777" w:rsidTr="005C0E8A">
        <w:trPr>
          <w:trHeight w:val="2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DE4916"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FA6A403"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Kryteria wyłączenia</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6EEEAD1"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Kod  i nazwa ICD-10/ innej klasyfikacji</w:t>
            </w:r>
          </w:p>
        </w:tc>
      </w:tr>
      <w:tr w:rsidR="00E54B2D" w:rsidRPr="00C57815" w14:paraId="10C81966"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537775"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081AAAC2"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215937F"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Opis ICD-10/ opis powodu wyłączenia</w:t>
            </w:r>
          </w:p>
        </w:tc>
      </w:tr>
      <w:tr w:rsidR="00E54B2D" w:rsidRPr="00E54B2D" w14:paraId="42EF3DEC"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83229D"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2CD3D999"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564F8006"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Opis dodatkowy</w:t>
            </w:r>
          </w:p>
        </w:tc>
      </w:tr>
      <w:tr w:rsidR="00E54B2D" w:rsidRPr="00C57815" w14:paraId="67EA6C7A"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27551B"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52F8ECD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b/>
                <w:bCs/>
                <w:kern w:val="24"/>
                <w:sz w:val="20"/>
                <w:lang w:val="pl-PL" w:eastAsia="pl-PL"/>
              </w:rPr>
              <w:t xml:space="preserve">II. Zakres świadczenia </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2A39E1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Kod ICD 9 / innej klasyfikacji</w:t>
            </w:r>
          </w:p>
          <w:p w14:paraId="49F4E75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39.951 Hemodializa</w:t>
            </w:r>
          </w:p>
          <w:p w14:paraId="535AFE2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39.952 Ciągłe leczenie nerkozastępcze</w:t>
            </w:r>
          </w:p>
          <w:p w14:paraId="64D4A49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L81 Leczenie powikłań leczenia nerkozastępczego &gt; 17 r.ż.</w:t>
            </w:r>
          </w:p>
          <w:p w14:paraId="4CBBE656"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L83 Przewlekła niewydolność nerek</w:t>
            </w:r>
          </w:p>
          <w:p w14:paraId="5F80602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L87 Leczenie powikłań leczenia nerkozastępczego &lt; 18 r.ż.</w:t>
            </w:r>
          </w:p>
          <w:p w14:paraId="5AF4F1F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P18 Choroby nerek z niewydolnością nerkową</w:t>
            </w:r>
          </w:p>
          <w:p w14:paraId="01F33CA4"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Q51 Dostęp naczyniowy w leczeniu nerkozastępczym z wykorzystaniem protez naczyniowych</w:t>
            </w:r>
          </w:p>
          <w:p w14:paraId="6B6A23F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Q52 Dostęp w leczeniu nerkozastępczym</w:t>
            </w:r>
          </w:p>
          <w:p w14:paraId="61F3748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Q44 </w:t>
            </w:r>
            <w:proofErr w:type="spellStart"/>
            <w:r w:rsidRPr="00E54B2D">
              <w:rPr>
                <w:sz w:val="20"/>
                <w:lang w:val="pl-PL" w:eastAsia="pl-PL"/>
              </w:rPr>
              <w:t>Endowaskularne</w:t>
            </w:r>
            <w:proofErr w:type="spellEnd"/>
            <w:r w:rsidRPr="00E54B2D">
              <w:rPr>
                <w:sz w:val="20"/>
                <w:lang w:val="pl-PL" w:eastAsia="pl-PL"/>
              </w:rPr>
              <w:t xml:space="preserve"> udrożnienie przetoki dializacyjnej</w:t>
            </w:r>
          </w:p>
          <w:p w14:paraId="53CA6B3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S53 Posocznica </w:t>
            </w:r>
            <w:proofErr w:type="spellStart"/>
            <w:r w:rsidRPr="00E54B2D">
              <w:rPr>
                <w:sz w:val="20"/>
                <w:lang w:val="pl-PL" w:eastAsia="pl-PL"/>
              </w:rPr>
              <w:t>odcewnikowa</w:t>
            </w:r>
            <w:proofErr w:type="spellEnd"/>
          </w:p>
          <w:p w14:paraId="1780B0DF"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93.86 Terapia psychologiczna</w:t>
            </w:r>
          </w:p>
          <w:p w14:paraId="3F0E06D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89.01    Profilaktyka i promocja zdrowia </w:t>
            </w:r>
          </w:p>
          <w:p w14:paraId="18297047"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89.08    Inna konsultacja (dietetyczna)</w:t>
            </w:r>
          </w:p>
          <w:p w14:paraId="08C5052D"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Zabiegi fizjoterapeutyczne</w:t>
            </w:r>
          </w:p>
          <w:p w14:paraId="0964375D"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Regulacja gospodarki wapniowo-fosforanowej</w:t>
            </w:r>
          </w:p>
          <w:p w14:paraId="64AC9E1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Przygotowanie do zgłoszenia do przeszczepienia nerki lub nerki i trzustki (wykonanie niezbędnych badań)</w:t>
            </w:r>
          </w:p>
          <w:p w14:paraId="4D3A824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Koordynacja</w:t>
            </w:r>
          </w:p>
          <w:p w14:paraId="58A472B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Diagnostyka laboratoryjna oraz obrazowa i </w:t>
            </w:r>
            <w:proofErr w:type="spellStart"/>
            <w:r w:rsidRPr="00E54B2D">
              <w:rPr>
                <w:sz w:val="20"/>
                <w:lang w:val="pl-PL" w:eastAsia="pl-PL"/>
              </w:rPr>
              <w:t>nieobrazowa</w:t>
            </w:r>
            <w:proofErr w:type="spellEnd"/>
            <w:r w:rsidRPr="00E54B2D">
              <w:rPr>
                <w:sz w:val="20"/>
                <w:lang w:val="pl-PL" w:eastAsia="pl-PL"/>
              </w:rPr>
              <w:t xml:space="preserve"> (EKG, RTG, USG) </w:t>
            </w:r>
          </w:p>
          <w:p w14:paraId="37D10A81"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Kwalifikowanie do świadczeń transportu sanitarnego w POZ</w:t>
            </w:r>
          </w:p>
          <w:p w14:paraId="698CC9A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Wystawianie zleceń przewozów</w:t>
            </w:r>
          </w:p>
          <w:p w14:paraId="5921273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Wystawianie recept 75+</w:t>
            </w:r>
          </w:p>
        </w:tc>
      </w:tr>
      <w:tr w:rsidR="00E54B2D" w:rsidRPr="00E54B2D" w14:paraId="100B1B4F"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507C0F"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55B408F7"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6C8CA70"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Opis ICD 9 / innej klasyfikacji</w:t>
            </w:r>
          </w:p>
        </w:tc>
      </w:tr>
      <w:tr w:rsidR="00E54B2D" w:rsidRPr="00C57815" w14:paraId="13997F7C"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23597A"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082C6482"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A1871C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Ramy czasowe realizacji świadczenia – przez cały czas leczenia w formie opieki koordynowanej, w tym w szczególności:</w:t>
            </w:r>
          </w:p>
          <w:p w14:paraId="06D1624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Porady nefrologiczne – roczna liczba porad zgodnie z poniższą tabelą</w:t>
            </w:r>
          </w:p>
          <w:p w14:paraId="29B494EA"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noProof/>
                <w:sz w:val="18"/>
                <w:szCs w:val="18"/>
                <w:lang w:val="pl-PL" w:eastAsia="pl-PL"/>
              </w:rPr>
              <w:drawing>
                <wp:inline distT="0" distB="0" distL="0" distR="0" wp14:anchorId="2C84D770" wp14:editId="7F49B9B4">
                  <wp:extent cx="4191585" cy="18290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czna liczba wizyt TO BE.PNG"/>
                          <pic:cNvPicPr/>
                        </pic:nvPicPr>
                        <pic:blipFill>
                          <a:blip r:embed="rId20">
                            <a:extLst>
                              <a:ext uri="{28A0092B-C50C-407E-A947-70E740481C1C}">
                                <a14:useLocalDpi xmlns:a14="http://schemas.microsoft.com/office/drawing/2010/main" val="0"/>
                              </a:ext>
                            </a:extLst>
                          </a:blip>
                          <a:stretch>
                            <a:fillRect/>
                          </a:stretch>
                        </pic:blipFill>
                        <pic:spPr>
                          <a:xfrm>
                            <a:off x="0" y="0"/>
                            <a:ext cx="4191585" cy="1829055"/>
                          </a:xfrm>
                          <a:prstGeom prst="rect">
                            <a:avLst/>
                          </a:prstGeom>
                        </pic:spPr>
                      </pic:pic>
                    </a:graphicData>
                  </a:graphic>
                </wp:inline>
              </w:drawing>
            </w:r>
          </w:p>
          <w:p w14:paraId="0FC19B4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porady dla pacjentów dializowanych – w zależności od przyjętego wariantu (moduł A lub moduł AA)</w:t>
            </w:r>
          </w:p>
          <w:p w14:paraId="116F4E43"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 Dializoterapia (hemodializa lub dializa otrzewnowa lub </w:t>
            </w:r>
            <w:proofErr w:type="spellStart"/>
            <w:r w:rsidRPr="00E54B2D">
              <w:rPr>
                <w:rFonts w:eastAsia="Calibri"/>
                <w:kern w:val="24"/>
                <w:sz w:val="20"/>
                <w:lang w:val="pl-PL" w:eastAsia="pl-PL"/>
              </w:rPr>
              <w:t>hemodiafiltracja</w:t>
            </w:r>
            <w:proofErr w:type="spellEnd"/>
            <w:r w:rsidRPr="00E54B2D">
              <w:rPr>
                <w:rFonts w:eastAsia="Calibri"/>
                <w:kern w:val="24"/>
                <w:sz w:val="20"/>
                <w:lang w:val="pl-PL" w:eastAsia="pl-PL"/>
              </w:rPr>
              <w:t>) zgodnie ze wskazaniami np. hemodializa średnio 156 razy w roku</w:t>
            </w:r>
          </w:p>
          <w:p w14:paraId="761A14C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Przygotowanie do zgłoszenia do przeszczepienia min 1 raz w roku</w:t>
            </w:r>
          </w:p>
          <w:p w14:paraId="619C68EA"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Regulacja gospodarki wapniowo-fosforanowej – zastosowanie farmakoterapii zgodnie ze wskazaniami</w:t>
            </w:r>
          </w:p>
          <w:p w14:paraId="4871C9A0"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 Leczenie niedokrwistości </w:t>
            </w:r>
            <w:proofErr w:type="spellStart"/>
            <w:r w:rsidRPr="00E54B2D">
              <w:rPr>
                <w:rFonts w:eastAsia="Calibri"/>
                <w:kern w:val="24"/>
                <w:sz w:val="20"/>
                <w:lang w:val="pl-PL" w:eastAsia="pl-PL"/>
              </w:rPr>
              <w:t>nerkopochodnej</w:t>
            </w:r>
            <w:proofErr w:type="spellEnd"/>
          </w:p>
          <w:p w14:paraId="5050D930"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 Wytworzenie dostępu naczyniowego/otrzewnowego </w:t>
            </w:r>
          </w:p>
          <w:p w14:paraId="48A8ED04"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Leczenie powikłań dostępu naczyniowego/otrzewnowego zgodnie ze wskazaniami</w:t>
            </w:r>
          </w:p>
        </w:tc>
      </w:tr>
      <w:tr w:rsidR="00E54B2D" w:rsidRPr="00C57815" w14:paraId="3C4F2866" w14:textId="77777777" w:rsidTr="005C0E8A">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BC6109"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0FE35776"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1F9EFE66"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Świadczenia towarzyszące</w:t>
            </w:r>
          </w:p>
          <w:p w14:paraId="31923FD6" w14:textId="19F792B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89.01    </w:t>
            </w:r>
            <w:r w:rsidR="00EA037D">
              <w:rPr>
                <w:sz w:val="20"/>
                <w:lang w:val="pl-PL" w:eastAsia="pl-PL"/>
              </w:rPr>
              <w:t>Profilaktyka i promocja zdrowia</w:t>
            </w:r>
          </w:p>
          <w:p w14:paraId="52A7B1B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89.08    Inna konsultacja </w:t>
            </w:r>
          </w:p>
          <w:p w14:paraId="065A4D9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Zabiegi fizjoterapeutyczne</w:t>
            </w:r>
          </w:p>
          <w:p w14:paraId="515F80F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Liczba świadczeń towarzyszących rocznie:</w:t>
            </w:r>
          </w:p>
          <w:p w14:paraId="57E30E72"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noProof/>
                <w:szCs w:val="22"/>
                <w:lang w:val="pl-PL" w:eastAsia="pl-PL"/>
              </w:rPr>
              <w:lastRenderedPageBreak/>
              <w:drawing>
                <wp:inline distT="0" distB="0" distL="0" distR="0" wp14:anchorId="4A661C4F" wp14:editId="4A58EE85">
                  <wp:extent cx="4046400" cy="1339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46400" cy="1339200"/>
                          </a:xfrm>
                          <a:prstGeom prst="rect">
                            <a:avLst/>
                          </a:prstGeom>
                          <a:noFill/>
                        </pic:spPr>
                      </pic:pic>
                    </a:graphicData>
                  </a:graphic>
                </wp:inline>
              </w:drawing>
            </w:r>
          </w:p>
          <w:p w14:paraId="3CAE044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Koordynacja</w:t>
            </w:r>
          </w:p>
          <w:p w14:paraId="7AE701F7"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Diagnostyka laboratoryjna oraz obrazowa i </w:t>
            </w:r>
            <w:proofErr w:type="spellStart"/>
            <w:r w:rsidRPr="00E54B2D">
              <w:rPr>
                <w:sz w:val="20"/>
                <w:lang w:val="pl-PL" w:eastAsia="pl-PL"/>
              </w:rPr>
              <w:t>nieobrazowa</w:t>
            </w:r>
            <w:proofErr w:type="spellEnd"/>
            <w:r w:rsidRPr="00E54B2D">
              <w:rPr>
                <w:sz w:val="20"/>
                <w:lang w:val="pl-PL" w:eastAsia="pl-PL"/>
              </w:rPr>
              <w:t xml:space="preserve"> (EKG, RTG, USG) </w:t>
            </w:r>
          </w:p>
          <w:p w14:paraId="0B434955"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Kwalifikowanie do świadczeń transportu sanitarnego w POZ</w:t>
            </w:r>
          </w:p>
          <w:p w14:paraId="2F610B3C"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 xml:space="preserve">Wystawianie zleceń przewozów </w:t>
            </w:r>
          </w:p>
          <w:p w14:paraId="38F8CFF8"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sz w:val="20"/>
                <w:lang w:val="pl-PL" w:eastAsia="pl-PL"/>
              </w:rPr>
              <w:t>Wystawianie recept 75+</w:t>
            </w:r>
          </w:p>
        </w:tc>
      </w:tr>
      <w:tr w:rsidR="00E54B2D" w:rsidRPr="00C57815" w14:paraId="30D87158"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CD9996"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4189E2BD"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1CC3EEE"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Etapy udzielania świadczenia:</w:t>
            </w:r>
          </w:p>
          <w:p w14:paraId="73971B3B" w14:textId="77777777" w:rsidR="00E54B2D" w:rsidRPr="00E54B2D" w:rsidRDefault="00E54B2D" w:rsidP="00E54B2D">
            <w:pPr>
              <w:widowControl/>
              <w:numPr>
                <w:ilvl w:val="0"/>
                <w:numId w:val="40"/>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Pacjent w zaawansowanym stadium </w:t>
            </w:r>
            <w:proofErr w:type="spellStart"/>
            <w:r w:rsidRPr="00E54B2D">
              <w:rPr>
                <w:rFonts w:eastAsia="Calibri"/>
                <w:kern w:val="24"/>
                <w:sz w:val="20"/>
                <w:lang w:val="pl-PL" w:eastAsia="pl-PL"/>
              </w:rPr>
              <w:t>PChN</w:t>
            </w:r>
            <w:proofErr w:type="spellEnd"/>
            <w:r w:rsidRPr="00E54B2D">
              <w:rPr>
                <w:rFonts w:eastAsia="Calibri"/>
                <w:kern w:val="24"/>
                <w:sz w:val="20"/>
                <w:lang w:val="pl-PL" w:eastAsia="pl-PL"/>
              </w:rPr>
              <w:t xml:space="preserve"> jest pod opieką dedykowanego zespołu w jednostce organizacyjnej pełniącej rolę koordynatora (poradnia nefrologiczna ze stacją dializ). </w:t>
            </w:r>
          </w:p>
          <w:p w14:paraId="06FCA06C" w14:textId="77777777" w:rsidR="00E54B2D" w:rsidRPr="00E54B2D" w:rsidRDefault="00E54B2D" w:rsidP="00E54B2D">
            <w:pPr>
              <w:widowControl/>
              <w:numPr>
                <w:ilvl w:val="0"/>
                <w:numId w:val="40"/>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W momencie kiedy wymaga tego stan zdrowia pacjenta podejmowana jest decyzja o przygotowaniu do leczenia nerkozastępczego. </w:t>
            </w:r>
          </w:p>
          <w:p w14:paraId="24A2F79F" w14:textId="77777777" w:rsidR="00E54B2D" w:rsidRPr="00E54B2D" w:rsidRDefault="00E54B2D" w:rsidP="00E54B2D">
            <w:pPr>
              <w:widowControl/>
              <w:numPr>
                <w:ilvl w:val="0"/>
                <w:numId w:val="40"/>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Pacjent jest edukowany w zakresie możliwych opcji leczenia i rozważany w aspekcie transplantacji wyprzedzającej. Za zgodą pacjenta i w przypadku braku bezwzględnych przeciwskazań do transplantacji, realizowane są dalsze etapy procesu kwalifikacji (uwzględniające przeprowadzenie badań wymaganych do zgłoszenia do kwalifikacji, zebranie wyników, weryfikację kompletności badań i monitorowania statusu kompletności, czyli zarządzenie i koordynowanie procesu przygotowania do zgłoszenia), a po zakończeniu procesu wyniki badań przekazywane są do  Regionalnego Ośrodka Kwalifikacji (ROK) celem zakwalifikowania na listę. </w:t>
            </w:r>
          </w:p>
          <w:p w14:paraId="1B0264EF" w14:textId="77777777" w:rsidR="00E54B2D" w:rsidRPr="00E54B2D" w:rsidRDefault="00E54B2D" w:rsidP="00E54B2D">
            <w:pPr>
              <w:widowControl/>
              <w:numPr>
                <w:ilvl w:val="0"/>
                <w:numId w:val="40"/>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W przypadku braku możliwości transplantacji wyprzedzającej, zostaje podjęta decyzja o leczeniu dializoterapią. Decyzja o rodzaju dializoterapii zostaje podjęta na podstawie obrazu klinicznego z uwzględnieniem preferencji pacjenta. W zależności od wybranego rodzaju dializoterapii chory jest kierowany do wytworzenia dostępu naczyniowego lub otrzewnowego. Po wytworzeniu dostępu pacjent rozpoczyna dializoterapię i tym samym wchodzi w rytm czynności wykonywanych cyklicznie i powtarzalnie, takich jak: </w:t>
            </w:r>
            <w:r w:rsidRPr="00E54B2D">
              <w:rPr>
                <w:rFonts w:eastAsia="Calibri"/>
                <w:kern w:val="24"/>
                <w:sz w:val="20"/>
                <w:lang w:val="pl-PL" w:eastAsia="pl-PL"/>
              </w:rPr>
              <w:lastRenderedPageBreak/>
              <w:t xml:space="preserve">monitorowanie stanu zdrowia, leczenie powikłań, wizyty kontrolne czy przygotowanie do zgłoszenia do zabiegu przeszczepienia nerki. </w:t>
            </w:r>
          </w:p>
          <w:p w14:paraId="45E6D3F4" w14:textId="77777777" w:rsidR="00E54B2D" w:rsidRPr="00E54B2D" w:rsidRDefault="00E54B2D" w:rsidP="00E54B2D">
            <w:pPr>
              <w:widowControl/>
              <w:numPr>
                <w:ilvl w:val="0"/>
                <w:numId w:val="40"/>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Wyłączenie z obiegu czynności cyklicznych ma miejsce w przypadku zakwalifikowania do transplantacji nerki bądź w przypadku występowania ciężkich powikłań – w obu przypadkach pacjent zostaje przekazany pod opiekę szpitala dysponującego środkami finansowymi na świadczenia gwarantowane ze środków publicznych w rodzaju leczenie szpitalne. </w:t>
            </w:r>
          </w:p>
          <w:p w14:paraId="435E1B25" w14:textId="77777777" w:rsidR="00E54B2D" w:rsidRPr="00E54B2D" w:rsidRDefault="00E54B2D" w:rsidP="00E54B2D">
            <w:pPr>
              <w:widowControl/>
              <w:numPr>
                <w:ilvl w:val="0"/>
                <w:numId w:val="40"/>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Proces leczenia jest wspierany i uzupełniony poradami dietetycznymi, poradami psychologa, zabiegami fizjoterapeutycznymi i edukacją.</w:t>
            </w:r>
          </w:p>
          <w:p w14:paraId="0C443CAD" w14:textId="77777777" w:rsidR="00E54B2D" w:rsidRPr="00E54B2D" w:rsidRDefault="00E54B2D" w:rsidP="00E54B2D">
            <w:pPr>
              <w:widowControl/>
              <w:autoSpaceDE/>
              <w:autoSpaceDN/>
              <w:adjustRightInd/>
              <w:spacing w:before="0" w:after="0" w:line="256" w:lineRule="auto"/>
              <w:ind w:left="720"/>
              <w:contextualSpacing/>
              <w:jc w:val="left"/>
              <w:rPr>
                <w:rFonts w:eastAsia="Calibri"/>
                <w:kern w:val="24"/>
                <w:sz w:val="20"/>
                <w:lang w:val="pl-PL" w:eastAsia="pl-PL"/>
              </w:rPr>
            </w:pPr>
          </w:p>
        </w:tc>
      </w:tr>
      <w:tr w:rsidR="00E54B2D" w:rsidRPr="00E54B2D" w14:paraId="686A2ECE" w14:textId="77777777" w:rsidTr="005C0E8A">
        <w:trPr>
          <w:trHeight w:val="36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811528"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11604"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51597B7"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b/>
                <w:bCs/>
                <w:kern w:val="24"/>
                <w:sz w:val="20"/>
                <w:lang w:val="pl-PL" w:eastAsia="pl-PL"/>
              </w:rPr>
              <w:t>III. Warunki realizacji świadczenia</w:t>
            </w:r>
          </w:p>
        </w:tc>
      </w:tr>
      <w:tr w:rsidR="00E54B2D" w:rsidRPr="00C57815" w14:paraId="3CF2CD4B"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92812F"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B72B494"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 xml:space="preserve">Struktura organizacyjna i zasoby świadczeniodawcy </w:t>
            </w:r>
          </w:p>
          <w:p w14:paraId="6A8656B3"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 w miejscu udzielania świadczenia</w:t>
            </w:r>
          </w:p>
          <w:p w14:paraId="3EB8EF10"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 w lokalizacji</w:t>
            </w:r>
          </w:p>
          <w:p w14:paraId="57B81114"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 w dostępie</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B74050E" w14:textId="5B56DA50"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 xml:space="preserve">Kod resortowy i nazwa komórki organizacyjnej (słowniki) – </w:t>
            </w:r>
            <w:r w:rsidRPr="00E54B2D">
              <w:rPr>
                <w:sz w:val="20"/>
                <w:lang w:val="pl-PL" w:eastAsia="pl-PL"/>
              </w:rPr>
              <w:t xml:space="preserve">jednostka koordynująca – poradnia nefrologiczna </w:t>
            </w:r>
            <w:r w:rsidR="00C90117">
              <w:rPr>
                <w:sz w:val="20"/>
                <w:lang w:val="pl-PL" w:eastAsia="pl-PL"/>
              </w:rPr>
              <w:t xml:space="preserve">(w obszarze opieki nad pacjentem w zaawansowanym </w:t>
            </w:r>
            <w:proofErr w:type="spellStart"/>
            <w:r w:rsidR="00C90117">
              <w:rPr>
                <w:sz w:val="20"/>
                <w:lang w:val="pl-PL" w:eastAsia="pl-PL"/>
              </w:rPr>
              <w:t>PChN</w:t>
            </w:r>
            <w:proofErr w:type="spellEnd"/>
            <w:r w:rsidR="00C90117">
              <w:rPr>
                <w:sz w:val="20"/>
                <w:lang w:val="pl-PL" w:eastAsia="pl-PL"/>
              </w:rPr>
              <w:t xml:space="preserve">) </w:t>
            </w:r>
            <w:r w:rsidRPr="00E54B2D">
              <w:rPr>
                <w:sz w:val="20"/>
                <w:lang w:val="pl-PL" w:eastAsia="pl-PL"/>
              </w:rPr>
              <w:t>ze stacją dializ</w:t>
            </w:r>
          </w:p>
        </w:tc>
      </w:tr>
      <w:tr w:rsidR="00E54B2D" w:rsidRPr="00C57815" w14:paraId="567AB21B" w14:textId="77777777" w:rsidTr="005C0E8A">
        <w:trPr>
          <w:trHeight w:val="2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BA7C9A"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124B0F4B"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4966093"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Tryb udzielania świadczenia </w:t>
            </w:r>
          </w:p>
          <w:p w14:paraId="7803C74F"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świadczenie jest udzielane w połączeniu z innymi świadczeniami gwarantowanymi; </w:t>
            </w:r>
          </w:p>
          <w:p w14:paraId="44020EB8"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świadczenie udzielane przez poradnię nefrologiczną ze stacją dializ</w:t>
            </w:r>
          </w:p>
          <w:p w14:paraId="1DFB8DC6" w14:textId="77777777" w:rsidR="00E54B2D" w:rsidRPr="00E54B2D" w:rsidRDefault="00E54B2D" w:rsidP="00E54B2D">
            <w:pPr>
              <w:widowControl/>
              <w:autoSpaceDE/>
              <w:autoSpaceDN/>
              <w:adjustRightInd/>
              <w:spacing w:before="0" w:after="0" w:line="256" w:lineRule="auto"/>
              <w:jc w:val="left"/>
              <w:rPr>
                <w:sz w:val="20"/>
                <w:lang w:val="pl-PL" w:eastAsia="pl-PL"/>
              </w:rPr>
            </w:pPr>
          </w:p>
        </w:tc>
      </w:tr>
      <w:tr w:rsidR="00E54B2D" w:rsidRPr="00C57815" w14:paraId="1EF0E6DA" w14:textId="77777777" w:rsidTr="005C0E8A">
        <w:trPr>
          <w:trHeight w:val="2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0F9318"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3C8ADF07"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69AEB2E"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Standard jakościowy</w:t>
            </w:r>
          </w:p>
          <w:p w14:paraId="703D232B" w14:textId="77777777" w:rsidR="00E54B2D" w:rsidRPr="00E54B2D" w:rsidRDefault="00E54B2D" w:rsidP="00E54B2D">
            <w:pPr>
              <w:widowControl/>
              <w:numPr>
                <w:ilvl w:val="0"/>
                <w:numId w:val="39"/>
              </w:numPr>
              <w:autoSpaceDE/>
              <w:autoSpaceDN/>
              <w:adjustRightInd/>
              <w:spacing w:before="0" w:after="0" w:line="256" w:lineRule="auto"/>
              <w:contextualSpacing/>
              <w:jc w:val="left"/>
              <w:rPr>
                <w:sz w:val="20"/>
                <w:lang w:val="pl-PL" w:eastAsia="pl-PL"/>
              </w:rPr>
            </w:pPr>
            <w:r w:rsidRPr="00E54B2D">
              <w:rPr>
                <w:rFonts w:eastAsia="Calibri"/>
                <w:kern w:val="24"/>
                <w:sz w:val="20"/>
                <w:lang w:val="pl-PL" w:eastAsia="pl-PL"/>
              </w:rPr>
              <w:t xml:space="preserve">minimalny optymalny (wymagany) </w:t>
            </w:r>
          </w:p>
          <w:p w14:paraId="747B1231" w14:textId="77777777" w:rsidR="00E54B2D" w:rsidRPr="00E54B2D" w:rsidRDefault="00E54B2D" w:rsidP="00E54B2D">
            <w:pPr>
              <w:widowControl/>
              <w:numPr>
                <w:ilvl w:val="0"/>
                <w:numId w:val="39"/>
              </w:numPr>
              <w:autoSpaceDE/>
              <w:autoSpaceDN/>
              <w:adjustRightInd/>
              <w:spacing w:before="0" w:after="0" w:line="256" w:lineRule="auto"/>
              <w:contextualSpacing/>
              <w:jc w:val="left"/>
              <w:rPr>
                <w:sz w:val="20"/>
                <w:lang w:val="pl-PL" w:eastAsia="pl-PL"/>
              </w:rPr>
            </w:pPr>
            <w:r w:rsidRPr="00E54B2D">
              <w:rPr>
                <w:rFonts w:eastAsia="Calibri"/>
                <w:kern w:val="24"/>
                <w:sz w:val="20"/>
                <w:lang w:val="pl-PL" w:eastAsia="pl-PL"/>
              </w:rPr>
              <w:t>optymalny pożądany  (opcjonalny)</w:t>
            </w:r>
          </w:p>
        </w:tc>
        <w:tc>
          <w:tcPr>
            <w:tcW w:w="666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3075DF7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Wyposażenie w sprzęt medyczny (słowniki)</w:t>
            </w:r>
          </w:p>
          <w:p w14:paraId="350A5682"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Zapewnienie realizacji leczenia nerkozastępczego w oparciu o:</w:t>
            </w:r>
          </w:p>
          <w:p w14:paraId="68A58C3F"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1) aparat do hemodializ z automatyczną kontrolą ultrafiltracji</w:t>
            </w:r>
          </w:p>
          <w:p w14:paraId="3202309E"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2) aparat do uzdatniania wody</w:t>
            </w:r>
          </w:p>
          <w:p w14:paraId="190FEE2D"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3) EKG</w:t>
            </w:r>
          </w:p>
          <w:p w14:paraId="1330E07C"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4) sprzęt resuscytacyjny</w:t>
            </w:r>
          </w:p>
          <w:p w14:paraId="5520A7FF"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5) zestaw do prowadzenia dializy otrzewnowej (w przypadku prowadzenia tej metody)</w:t>
            </w:r>
          </w:p>
          <w:p w14:paraId="60D9CF41"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 xml:space="preserve">6) </w:t>
            </w:r>
            <w:proofErr w:type="spellStart"/>
            <w:r w:rsidRPr="00E54B2D">
              <w:rPr>
                <w:rFonts w:eastAsia="Calibri"/>
                <w:kern w:val="24"/>
                <w:sz w:val="20"/>
                <w:lang w:val="pl-PL" w:eastAsia="pl-PL"/>
              </w:rPr>
              <w:t>cykler</w:t>
            </w:r>
            <w:proofErr w:type="spellEnd"/>
            <w:r w:rsidRPr="00E54B2D">
              <w:rPr>
                <w:rFonts w:eastAsia="Calibri"/>
                <w:kern w:val="24"/>
                <w:sz w:val="20"/>
                <w:lang w:val="pl-PL" w:eastAsia="pl-PL"/>
              </w:rPr>
              <w:t xml:space="preserve"> (w przypadku automatycznej dializy otrzewnowej)</w:t>
            </w:r>
          </w:p>
        </w:tc>
      </w:tr>
      <w:tr w:rsidR="00E54B2D" w:rsidRPr="00C57815" w14:paraId="7910829C" w14:textId="77777777" w:rsidTr="005C0E8A">
        <w:trPr>
          <w:trHeight w:val="7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D504CD"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7925EA83"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1700" w:type="dxa"/>
            <w:vMerge/>
            <w:tcBorders>
              <w:top w:val="single" w:sz="8" w:space="0" w:color="000000"/>
              <w:left w:val="single" w:sz="8" w:space="0" w:color="000000"/>
              <w:bottom w:val="single" w:sz="8" w:space="0" w:color="000000"/>
              <w:right w:val="single" w:sz="8" w:space="0" w:color="000000"/>
            </w:tcBorders>
            <w:vAlign w:val="center"/>
            <w:hideMark/>
          </w:tcPr>
          <w:p w14:paraId="3EA28CB7"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CFD1C52"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Warunki dodatkowe dla korzystania z wyposażenia i wymagane parametry</w:t>
            </w:r>
          </w:p>
          <w:p w14:paraId="15347FCF"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Świadczeniodawca musi zapewnić:</w:t>
            </w:r>
          </w:p>
          <w:p w14:paraId="1A17F228"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koncentraty płynów dializacyjnych oraz substraty do ich produkcji – zarejestrowane jako wyroby medyczne w przypadku HD</w:t>
            </w:r>
          </w:p>
          <w:p w14:paraId="23B1A6B9"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dializatory i linie dializacyjne jednorazowego użytku w przypadku HD</w:t>
            </w:r>
          </w:p>
          <w:p w14:paraId="7155D7E7"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płyny do dializy otrzewnowej w przypadku DO</w:t>
            </w:r>
          </w:p>
          <w:p w14:paraId="0548AAD0"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Zapewnienie realizacji badań diagnostycznych zlecanych dla ustalenia rozpoznania lub monitorowania przebiegu leczenia:</w:t>
            </w:r>
          </w:p>
          <w:p w14:paraId="4FCDA4A2"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lastRenderedPageBreak/>
              <w:t>I). Minimalny zakres badań u chorych hemodializowanych:</w:t>
            </w:r>
          </w:p>
          <w:p w14:paraId="1F31C81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1). Badania wykonywane przed rozpoczęciem dializowania:</w:t>
            </w:r>
          </w:p>
          <w:p w14:paraId="53D63A7A"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Grupa krwi (jeżeli brak dokumentu z wcześniejszego oznaczenia)</w:t>
            </w:r>
          </w:p>
          <w:p w14:paraId="5C8E3A87"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diagnostyka w kierunku zakażenia HBV i HCV </w:t>
            </w:r>
          </w:p>
          <w:p w14:paraId="57682F93"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eastAsia="pl-PL"/>
              </w:rPr>
            </w:pPr>
            <w:proofErr w:type="spellStart"/>
            <w:r w:rsidRPr="00E54B2D">
              <w:rPr>
                <w:rFonts w:eastAsia="Calibri"/>
                <w:kern w:val="24"/>
                <w:sz w:val="20"/>
                <w:lang w:eastAsia="pl-PL"/>
              </w:rPr>
              <w:t>anty</w:t>
            </w:r>
            <w:proofErr w:type="spellEnd"/>
            <w:r w:rsidRPr="00E54B2D">
              <w:rPr>
                <w:rFonts w:eastAsia="Calibri"/>
                <w:kern w:val="24"/>
                <w:sz w:val="20"/>
                <w:lang w:eastAsia="pl-PL"/>
              </w:rPr>
              <w:t>-HIV</w:t>
            </w:r>
          </w:p>
          <w:p w14:paraId="52F5EEC5"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morfologia krwi, </w:t>
            </w:r>
            <w:proofErr w:type="spellStart"/>
            <w:r w:rsidRPr="00E54B2D">
              <w:rPr>
                <w:rFonts w:eastAsia="Calibri"/>
                <w:kern w:val="24"/>
                <w:sz w:val="20"/>
                <w:lang w:val="pl-PL" w:eastAsia="pl-PL"/>
              </w:rPr>
              <w:t>eGFR</w:t>
            </w:r>
            <w:proofErr w:type="spellEnd"/>
            <w:r w:rsidRPr="00E54B2D">
              <w:rPr>
                <w:rFonts w:eastAsia="Calibri"/>
                <w:kern w:val="24"/>
                <w:sz w:val="20"/>
                <w:lang w:val="pl-PL" w:eastAsia="pl-PL"/>
              </w:rPr>
              <w:t xml:space="preserve">, sód i potas (przed i po pierwszej HD), wapń, fosforany, </w:t>
            </w:r>
            <w:proofErr w:type="spellStart"/>
            <w:r w:rsidRPr="00E54B2D">
              <w:rPr>
                <w:rFonts w:eastAsia="Calibri"/>
                <w:kern w:val="24"/>
                <w:sz w:val="20"/>
                <w:lang w:val="pl-PL" w:eastAsia="pl-PL"/>
              </w:rPr>
              <w:t>kT</w:t>
            </w:r>
            <w:proofErr w:type="spellEnd"/>
            <w:r w:rsidRPr="00E54B2D">
              <w:rPr>
                <w:rFonts w:eastAsia="Calibri"/>
                <w:kern w:val="24"/>
                <w:sz w:val="20"/>
                <w:lang w:val="pl-PL" w:eastAsia="pl-PL"/>
              </w:rPr>
              <w:t>/V (liczony na podstawie stężenia mocznika lub przewodności dializatu) w trakcie pierwszej HD, glukoza, TSAT</w:t>
            </w:r>
          </w:p>
          <w:p w14:paraId="3FD5E9A3"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2). W czasie pierwszego miesiąca dializowania:</w:t>
            </w:r>
          </w:p>
          <w:p w14:paraId="0C70E58A"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Albuminy, </w:t>
            </w:r>
            <w:proofErr w:type="spellStart"/>
            <w:r w:rsidRPr="00E54B2D">
              <w:rPr>
                <w:rFonts w:eastAsia="Calibri"/>
                <w:kern w:val="24"/>
                <w:sz w:val="20"/>
                <w:lang w:val="pl-PL" w:eastAsia="pl-PL"/>
              </w:rPr>
              <w:t>AlAT</w:t>
            </w:r>
            <w:proofErr w:type="spellEnd"/>
            <w:r w:rsidRPr="00E54B2D">
              <w:rPr>
                <w:rFonts w:eastAsia="Calibri"/>
                <w:kern w:val="24"/>
                <w:sz w:val="20"/>
                <w:lang w:val="pl-PL" w:eastAsia="pl-PL"/>
              </w:rPr>
              <w:t>, fosfataza zasadowa, cholesterol całkowity, trójglicerydy, ferrytyna, PTH, CRP3). Co jeden miesiąc:</w:t>
            </w:r>
          </w:p>
          <w:p w14:paraId="62229202"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Morfologia krwi</w:t>
            </w:r>
          </w:p>
          <w:p w14:paraId="63483D60"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Sód, potas, wapń, fosforany, </w:t>
            </w:r>
            <w:proofErr w:type="spellStart"/>
            <w:r w:rsidRPr="00E54B2D">
              <w:rPr>
                <w:rFonts w:eastAsia="Calibri"/>
                <w:kern w:val="24"/>
                <w:sz w:val="20"/>
                <w:lang w:val="pl-PL" w:eastAsia="pl-PL"/>
              </w:rPr>
              <w:t>kT</w:t>
            </w:r>
            <w:proofErr w:type="spellEnd"/>
            <w:r w:rsidRPr="00E54B2D">
              <w:rPr>
                <w:rFonts w:eastAsia="Calibri"/>
                <w:kern w:val="24"/>
                <w:sz w:val="20"/>
                <w:lang w:val="pl-PL" w:eastAsia="pl-PL"/>
              </w:rPr>
              <w:t>/V (wyliczany na podstawie stężenia mocznika lub przewodności dializatu)</w:t>
            </w:r>
          </w:p>
          <w:p w14:paraId="6567863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4). Badania wykonywane dodatkowe co 3 miesiące:</w:t>
            </w:r>
          </w:p>
          <w:p w14:paraId="4F957706"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proofErr w:type="spellStart"/>
            <w:r w:rsidRPr="00E54B2D">
              <w:rPr>
                <w:rFonts w:eastAsia="Calibri"/>
                <w:kern w:val="24"/>
                <w:sz w:val="20"/>
                <w:lang w:val="pl-PL" w:eastAsia="pl-PL"/>
              </w:rPr>
              <w:t>AlAT</w:t>
            </w:r>
            <w:proofErr w:type="spellEnd"/>
            <w:r w:rsidRPr="00E54B2D">
              <w:rPr>
                <w:rFonts w:eastAsia="Calibri"/>
                <w:kern w:val="24"/>
                <w:sz w:val="20"/>
                <w:lang w:val="pl-PL" w:eastAsia="pl-PL"/>
              </w:rPr>
              <w:t xml:space="preserve">, fosfataza zasadowa, </w:t>
            </w:r>
            <w:proofErr w:type="spellStart"/>
            <w:r w:rsidRPr="00E54B2D">
              <w:rPr>
                <w:rFonts w:eastAsia="Calibri"/>
                <w:kern w:val="24"/>
                <w:sz w:val="20"/>
                <w:lang w:val="pl-PL" w:eastAsia="pl-PL"/>
              </w:rPr>
              <w:t>FeTIBC</w:t>
            </w:r>
            <w:proofErr w:type="spellEnd"/>
            <w:r w:rsidRPr="00E54B2D">
              <w:rPr>
                <w:rFonts w:eastAsia="Calibri"/>
                <w:kern w:val="24"/>
                <w:sz w:val="20"/>
                <w:lang w:val="pl-PL" w:eastAsia="pl-PL"/>
              </w:rPr>
              <w:t xml:space="preserve"> aby wyliczyć,  TSAT, albumina</w:t>
            </w:r>
          </w:p>
          <w:p w14:paraId="3404091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5). Badania wykonywane dodatkowo co 6 miesięcy:</w:t>
            </w:r>
          </w:p>
          <w:p w14:paraId="19DE282D"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PTH, ferrytyna</w:t>
            </w:r>
          </w:p>
          <w:p w14:paraId="7AB8183E" w14:textId="77777777" w:rsidR="00E54B2D" w:rsidRPr="00E54B2D" w:rsidRDefault="00E54B2D" w:rsidP="00E54B2D">
            <w:pPr>
              <w:widowControl/>
              <w:autoSpaceDE/>
              <w:autoSpaceDN/>
              <w:adjustRightInd/>
              <w:spacing w:before="0" w:after="160" w:line="259" w:lineRule="auto"/>
              <w:ind w:left="720"/>
              <w:contextualSpacing/>
              <w:jc w:val="left"/>
              <w:rPr>
                <w:rFonts w:eastAsia="Calibri"/>
                <w:szCs w:val="22"/>
                <w:lang w:val="pl-PL" w:eastAsia="pl-PL"/>
              </w:rPr>
            </w:pPr>
            <w:r w:rsidRPr="00E54B2D">
              <w:rPr>
                <w:rFonts w:eastAsia="Calibri"/>
                <w:kern w:val="24"/>
                <w:sz w:val="20"/>
                <w:lang w:val="pl-PL" w:eastAsia="pl-PL"/>
              </w:rPr>
              <w:t xml:space="preserve">diagnostyka w kierunku zakażenia HBV i HCV </w:t>
            </w:r>
          </w:p>
          <w:p w14:paraId="0386F0D2"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6). Badania wykonywane dodatkowo co 12 miesięcy:</w:t>
            </w:r>
          </w:p>
          <w:p w14:paraId="6AD16A26"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diagnostyka w kierunku zakażenia HCV </w:t>
            </w:r>
          </w:p>
          <w:p w14:paraId="7EE2270A"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EKG, RTG klatki piersiowej, USG jamy brzusznej i nerek</w:t>
            </w:r>
          </w:p>
          <w:p w14:paraId="4500B8EC"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p>
          <w:p w14:paraId="47C30D2D"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II). Minimalny zakres okresowych badań u chorych dializowanych otrzewnowo:</w:t>
            </w:r>
          </w:p>
          <w:p w14:paraId="20DD5037"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1). Badania wykonywane przed rozpoczęciem dializowania:</w:t>
            </w:r>
          </w:p>
          <w:p w14:paraId="655B11CA"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Grupa krwi (jeżeli brak dokumentu z wcześniejszego oznaczenia)</w:t>
            </w:r>
          </w:p>
          <w:p w14:paraId="71C65AFB"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diagnostyka w kierunku zakażenia HBV i HCV </w:t>
            </w:r>
          </w:p>
          <w:p w14:paraId="619D3EE6"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anty-HIV</w:t>
            </w:r>
          </w:p>
          <w:p w14:paraId="6882F729"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morfologia krwi, TSAT, ferrytyna, PTH, sód, potas, wapń, fosforany, mocznik, kreatynina, kwas moczowy, glukoza, APTT, proteinogram, </w:t>
            </w:r>
            <w:proofErr w:type="spellStart"/>
            <w:r w:rsidRPr="00E54B2D">
              <w:rPr>
                <w:rFonts w:eastAsia="Calibri"/>
                <w:kern w:val="24"/>
                <w:sz w:val="20"/>
                <w:lang w:val="pl-PL" w:eastAsia="pl-PL"/>
              </w:rPr>
              <w:t>lipidogram</w:t>
            </w:r>
            <w:proofErr w:type="spellEnd"/>
            <w:r w:rsidRPr="00E54B2D">
              <w:rPr>
                <w:rFonts w:eastAsia="Calibri"/>
                <w:kern w:val="24"/>
                <w:sz w:val="20"/>
                <w:lang w:val="pl-PL" w:eastAsia="pl-PL"/>
              </w:rPr>
              <w:t xml:space="preserve">, </w:t>
            </w:r>
            <w:proofErr w:type="spellStart"/>
            <w:r w:rsidRPr="00E54B2D">
              <w:rPr>
                <w:rFonts w:eastAsia="Calibri"/>
                <w:kern w:val="24"/>
                <w:sz w:val="20"/>
                <w:lang w:val="pl-PL" w:eastAsia="pl-PL"/>
              </w:rPr>
              <w:t>AlAT</w:t>
            </w:r>
            <w:proofErr w:type="spellEnd"/>
            <w:r w:rsidRPr="00E54B2D">
              <w:rPr>
                <w:rFonts w:eastAsia="Calibri"/>
                <w:kern w:val="24"/>
                <w:sz w:val="20"/>
                <w:lang w:val="pl-PL" w:eastAsia="pl-PL"/>
              </w:rPr>
              <w:t xml:space="preserve">, APTT, fosfataza zasadowa, </w:t>
            </w:r>
            <w:proofErr w:type="spellStart"/>
            <w:r w:rsidRPr="00E54B2D">
              <w:rPr>
                <w:rFonts w:eastAsia="Calibri"/>
                <w:kern w:val="24"/>
                <w:sz w:val="20"/>
                <w:lang w:val="pl-PL" w:eastAsia="pl-PL"/>
              </w:rPr>
              <w:t>pH</w:t>
            </w:r>
            <w:proofErr w:type="spellEnd"/>
            <w:r w:rsidRPr="00E54B2D">
              <w:rPr>
                <w:rFonts w:eastAsia="Calibri"/>
                <w:kern w:val="24"/>
                <w:sz w:val="20"/>
                <w:lang w:val="pl-PL" w:eastAsia="pl-PL"/>
              </w:rPr>
              <w:t xml:space="preserve"> i HCO</w:t>
            </w:r>
            <w:r w:rsidRPr="00E54B2D">
              <w:rPr>
                <w:rFonts w:eastAsia="Calibri"/>
                <w:kern w:val="24"/>
                <w:sz w:val="20"/>
                <w:vertAlign w:val="subscript"/>
                <w:lang w:val="pl-PL" w:eastAsia="pl-PL"/>
              </w:rPr>
              <w:t>3</w:t>
            </w:r>
            <w:r w:rsidRPr="00E54B2D">
              <w:rPr>
                <w:rFonts w:eastAsia="Calibri"/>
                <w:kern w:val="24"/>
                <w:sz w:val="20"/>
                <w:lang w:val="pl-PL" w:eastAsia="pl-PL"/>
              </w:rPr>
              <w:t xml:space="preserve">, </w:t>
            </w:r>
          </w:p>
          <w:p w14:paraId="0350D888"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RTG klatki piersiowej, EKG</w:t>
            </w:r>
          </w:p>
          <w:p w14:paraId="4F8F9DD1"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lastRenderedPageBreak/>
              <w:t>2). Badania wykonywane przy pierwszej wizycie kontrolnej (6 tygodni po rozpoczęciu dializoterapii)</w:t>
            </w:r>
          </w:p>
          <w:p w14:paraId="53A62E8C"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Morfologia krwi</w:t>
            </w:r>
          </w:p>
          <w:p w14:paraId="2954969D"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Sód, potas, wapń, fosforany, glukoza, mocznik, kreatynina</w:t>
            </w:r>
          </w:p>
          <w:p w14:paraId="2D22D223"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PET</w:t>
            </w:r>
          </w:p>
          <w:p w14:paraId="2BE45F09"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Tygodniowy normalizowany </w:t>
            </w:r>
            <w:proofErr w:type="spellStart"/>
            <w:r w:rsidRPr="00E54B2D">
              <w:rPr>
                <w:rFonts w:eastAsia="Calibri"/>
                <w:kern w:val="24"/>
                <w:sz w:val="20"/>
                <w:lang w:val="pl-PL" w:eastAsia="pl-PL"/>
              </w:rPr>
              <w:t>klirens</w:t>
            </w:r>
            <w:proofErr w:type="spellEnd"/>
            <w:r w:rsidRPr="00E54B2D">
              <w:rPr>
                <w:rFonts w:eastAsia="Calibri"/>
                <w:kern w:val="24"/>
                <w:sz w:val="20"/>
                <w:lang w:val="pl-PL" w:eastAsia="pl-PL"/>
              </w:rPr>
              <w:t xml:space="preserve"> mocznika </w:t>
            </w:r>
            <w:proofErr w:type="spellStart"/>
            <w:r w:rsidRPr="00E54B2D">
              <w:rPr>
                <w:rFonts w:eastAsia="Calibri"/>
                <w:kern w:val="24"/>
                <w:sz w:val="20"/>
                <w:lang w:val="pl-PL" w:eastAsia="pl-PL"/>
              </w:rPr>
              <w:t>kT</w:t>
            </w:r>
            <w:proofErr w:type="spellEnd"/>
            <w:r w:rsidRPr="00E54B2D">
              <w:rPr>
                <w:rFonts w:eastAsia="Calibri"/>
                <w:kern w:val="24"/>
                <w:sz w:val="20"/>
                <w:lang w:val="pl-PL" w:eastAsia="pl-PL"/>
              </w:rPr>
              <w:t>/V</w:t>
            </w:r>
          </w:p>
          <w:p w14:paraId="731E995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3). Badania wykonywane co 6 tygodni (przy każdej planowej wizycie pacjenta)</w:t>
            </w:r>
          </w:p>
          <w:p w14:paraId="77ED5380"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Morfologia krwi</w:t>
            </w:r>
          </w:p>
          <w:p w14:paraId="66A95EFE"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Sód, potas, wapń, fosforany</w:t>
            </w:r>
          </w:p>
          <w:p w14:paraId="0AAE1C1B"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Glukoza, mocznik, kreatynina</w:t>
            </w:r>
          </w:p>
          <w:p w14:paraId="5478E584"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4). Badania wykonywane dodatkowo co 3 miesiące:</w:t>
            </w:r>
          </w:p>
          <w:p w14:paraId="3D09CB26"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Białko całkowite, albuminy</w:t>
            </w:r>
          </w:p>
          <w:p w14:paraId="3BC3549C"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Cholesterol całkowity, </w:t>
            </w:r>
            <w:proofErr w:type="spellStart"/>
            <w:r w:rsidRPr="00E54B2D">
              <w:rPr>
                <w:rFonts w:eastAsia="Calibri"/>
                <w:kern w:val="24"/>
                <w:sz w:val="20"/>
                <w:lang w:val="pl-PL" w:eastAsia="pl-PL"/>
              </w:rPr>
              <w:t>triglicerydy</w:t>
            </w:r>
            <w:proofErr w:type="spellEnd"/>
          </w:p>
          <w:p w14:paraId="4F91BC6A"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Kwas moczowy</w:t>
            </w:r>
          </w:p>
          <w:p w14:paraId="24F5FCE3"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proofErr w:type="spellStart"/>
            <w:r w:rsidRPr="00E54B2D">
              <w:rPr>
                <w:rFonts w:eastAsia="Calibri"/>
                <w:kern w:val="24"/>
                <w:sz w:val="20"/>
                <w:lang w:val="pl-PL" w:eastAsia="pl-PL"/>
              </w:rPr>
              <w:t>pH</w:t>
            </w:r>
            <w:proofErr w:type="spellEnd"/>
            <w:r w:rsidRPr="00E54B2D">
              <w:rPr>
                <w:rFonts w:eastAsia="Calibri"/>
                <w:kern w:val="24"/>
                <w:sz w:val="20"/>
                <w:lang w:val="pl-PL" w:eastAsia="pl-PL"/>
              </w:rPr>
              <w:t>, HCO</w:t>
            </w:r>
            <w:r w:rsidRPr="00E54B2D">
              <w:rPr>
                <w:rFonts w:eastAsia="Calibri"/>
                <w:kern w:val="24"/>
                <w:sz w:val="20"/>
                <w:vertAlign w:val="subscript"/>
                <w:lang w:val="pl-PL" w:eastAsia="pl-PL"/>
              </w:rPr>
              <w:t>3</w:t>
            </w:r>
          </w:p>
          <w:p w14:paraId="0BF343CB"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PTH</w:t>
            </w:r>
          </w:p>
          <w:p w14:paraId="0E7C867C"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Cytoza płynu otrzewnowego – wg. potrzeb</w:t>
            </w:r>
          </w:p>
          <w:p w14:paraId="5A3FFE50"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Posiew płynu otrzewnowego – wg. potrzeb</w:t>
            </w:r>
          </w:p>
          <w:p w14:paraId="640C36E6"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5). Badania wykonywane dodatkowo co 6 miesięcy:</w:t>
            </w:r>
          </w:p>
          <w:p w14:paraId="43A30EB7"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APTT, </w:t>
            </w:r>
            <w:proofErr w:type="spellStart"/>
            <w:r w:rsidRPr="00E54B2D">
              <w:rPr>
                <w:rFonts w:eastAsia="Calibri"/>
                <w:kern w:val="24"/>
                <w:sz w:val="20"/>
                <w:lang w:val="pl-PL" w:eastAsia="pl-PL"/>
              </w:rPr>
              <w:t>AlAT</w:t>
            </w:r>
            <w:proofErr w:type="spellEnd"/>
            <w:r w:rsidRPr="00E54B2D">
              <w:rPr>
                <w:rFonts w:eastAsia="Calibri"/>
                <w:kern w:val="24"/>
                <w:sz w:val="20"/>
                <w:lang w:val="pl-PL" w:eastAsia="pl-PL"/>
              </w:rPr>
              <w:t>, fosfataza zasadowa</w:t>
            </w:r>
          </w:p>
          <w:p w14:paraId="6178514E"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HbA1C – u chorych na cukrzycę</w:t>
            </w:r>
          </w:p>
          <w:p w14:paraId="5FD3FA78"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Fe, TIBC, ferrytyna</w:t>
            </w:r>
          </w:p>
          <w:p w14:paraId="623CC554"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diagnostyka w kierunku zakażenia HBV i HCV </w:t>
            </w:r>
          </w:p>
          <w:p w14:paraId="506B0B65"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Tygodniowy normalizowany </w:t>
            </w:r>
            <w:proofErr w:type="spellStart"/>
            <w:r w:rsidRPr="00E54B2D">
              <w:rPr>
                <w:rFonts w:eastAsia="Calibri"/>
                <w:kern w:val="24"/>
                <w:sz w:val="20"/>
                <w:lang w:val="pl-PL" w:eastAsia="pl-PL"/>
              </w:rPr>
              <w:t>klirens</w:t>
            </w:r>
            <w:proofErr w:type="spellEnd"/>
            <w:r w:rsidRPr="00E54B2D">
              <w:rPr>
                <w:rFonts w:eastAsia="Calibri"/>
                <w:kern w:val="24"/>
                <w:sz w:val="20"/>
                <w:lang w:val="pl-PL" w:eastAsia="pl-PL"/>
              </w:rPr>
              <w:t xml:space="preserve"> mocznika </w:t>
            </w:r>
            <w:proofErr w:type="spellStart"/>
            <w:r w:rsidRPr="00E54B2D">
              <w:rPr>
                <w:rFonts w:eastAsia="Calibri"/>
                <w:kern w:val="24"/>
                <w:sz w:val="20"/>
                <w:lang w:val="pl-PL" w:eastAsia="pl-PL"/>
              </w:rPr>
              <w:t>kT</w:t>
            </w:r>
            <w:proofErr w:type="spellEnd"/>
            <w:r w:rsidRPr="00E54B2D">
              <w:rPr>
                <w:rFonts w:eastAsia="Calibri"/>
                <w:kern w:val="24"/>
                <w:sz w:val="20"/>
                <w:lang w:val="pl-PL" w:eastAsia="pl-PL"/>
              </w:rPr>
              <w:t>/V</w:t>
            </w:r>
          </w:p>
          <w:p w14:paraId="35A10067"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PET</w:t>
            </w:r>
          </w:p>
          <w:p w14:paraId="7C9939A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6). Badania wykonywane dodatkowo co 12 miesięcy:</w:t>
            </w:r>
          </w:p>
          <w:p w14:paraId="1D46558D"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 xml:space="preserve">diagnostyka w kierunku zakażenia HCV </w:t>
            </w:r>
          </w:p>
          <w:p w14:paraId="2E4CC296"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kern w:val="24"/>
                <w:sz w:val="20"/>
                <w:lang w:val="pl-PL" w:eastAsia="pl-PL"/>
              </w:rPr>
            </w:pPr>
            <w:r w:rsidRPr="00E54B2D">
              <w:rPr>
                <w:rFonts w:eastAsia="Calibri"/>
                <w:kern w:val="24"/>
                <w:sz w:val="20"/>
                <w:lang w:val="pl-PL" w:eastAsia="pl-PL"/>
              </w:rPr>
              <w:t>Białko całkowite i albumina</w:t>
            </w:r>
          </w:p>
          <w:p w14:paraId="51D1CF74" w14:textId="77777777" w:rsidR="00E54B2D" w:rsidRPr="00E54B2D" w:rsidRDefault="00E54B2D" w:rsidP="00E54B2D">
            <w:pPr>
              <w:widowControl/>
              <w:numPr>
                <w:ilvl w:val="0"/>
                <w:numId w:val="41"/>
              </w:numPr>
              <w:autoSpaceDE/>
              <w:autoSpaceDN/>
              <w:adjustRightInd/>
              <w:spacing w:before="0" w:after="0" w:line="256" w:lineRule="auto"/>
              <w:contextualSpacing/>
              <w:jc w:val="left"/>
              <w:rPr>
                <w:rFonts w:eastAsia="Calibri"/>
                <w:szCs w:val="22"/>
                <w:lang w:val="pl-PL" w:eastAsia="pl-PL"/>
              </w:rPr>
            </w:pPr>
            <w:r w:rsidRPr="00E54B2D">
              <w:rPr>
                <w:rFonts w:eastAsia="Calibri"/>
                <w:kern w:val="24"/>
                <w:sz w:val="20"/>
                <w:lang w:val="pl-PL" w:eastAsia="pl-PL"/>
              </w:rPr>
              <w:t xml:space="preserve">EKG, </w:t>
            </w:r>
            <w:proofErr w:type="spellStart"/>
            <w:r w:rsidRPr="00E54B2D">
              <w:rPr>
                <w:rFonts w:eastAsia="Calibri"/>
                <w:kern w:val="24"/>
                <w:sz w:val="20"/>
                <w:lang w:val="pl-PL" w:eastAsia="pl-PL"/>
              </w:rPr>
              <w:t>Rtg</w:t>
            </w:r>
            <w:proofErr w:type="spellEnd"/>
            <w:r w:rsidRPr="00E54B2D">
              <w:rPr>
                <w:rFonts w:eastAsia="Calibri"/>
                <w:kern w:val="24"/>
                <w:sz w:val="20"/>
                <w:lang w:val="pl-PL" w:eastAsia="pl-PL"/>
              </w:rPr>
              <w:t xml:space="preserve"> klatki piersiowej, USG jamy brzusznej i nerek</w:t>
            </w:r>
          </w:p>
        </w:tc>
      </w:tr>
      <w:tr w:rsidR="00E54B2D" w:rsidRPr="00C57815" w14:paraId="6E092828" w14:textId="77777777" w:rsidTr="005C0E8A">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6F82FA"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16005E4E"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1700" w:type="dxa"/>
            <w:vMerge/>
            <w:tcBorders>
              <w:top w:val="single" w:sz="8" w:space="0" w:color="000000"/>
              <w:left w:val="single" w:sz="8" w:space="0" w:color="000000"/>
              <w:bottom w:val="single" w:sz="8" w:space="0" w:color="000000"/>
              <w:right w:val="single" w:sz="8" w:space="0" w:color="000000"/>
            </w:tcBorders>
            <w:vAlign w:val="center"/>
            <w:hideMark/>
          </w:tcPr>
          <w:p w14:paraId="272E93A1"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0E2514B"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Personel medyczny (słownik)</w:t>
            </w:r>
          </w:p>
          <w:p w14:paraId="455580DD"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1) lekarze</w:t>
            </w:r>
          </w:p>
          <w:p w14:paraId="7C3D773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 xml:space="preserve">a) lekarz specjalista w dziedzinie nefrologii </w:t>
            </w:r>
          </w:p>
          <w:p w14:paraId="5D13B6D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lastRenderedPageBreak/>
              <w:t>b) lekarz specjalista w dziedzinie chorób wewnętrznych lub</w:t>
            </w:r>
          </w:p>
          <w:p w14:paraId="585A8776"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c) lekarz specjalista w dziedzinie pediatrii (dotyczy leczenia dzieci);</w:t>
            </w:r>
          </w:p>
          <w:p w14:paraId="240B9189"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2) pielęgniarki</w:t>
            </w:r>
            <w:r w:rsidRPr="00E54B2D">
              <w:rPr>
                <w:rFonts w:eastAsia="Calibri"/>
                <w:sz w:val="20"/>
                <w:lang w:val="pl-PL"/>
              </w:rPr>
              <w:t xml:space="preserve"> </w:t>
            </w:r>
            <w:r w:rsidRPr="00E54B2D">
              <w:rPr>
                <w:rFonts w:eastAsia="Calibri"/>
                <w:kern w:val="24"/>
                <w:sz w:val="20"/>
                <w:lang w:val="pl-PL" w:eastAsia="pl-PL"/>
              </w:rPr>
              <w:t>posiadające potwierdzone odpowiednim zaświadczeniem przeszkolenie w stacji dializ lub w ośrodku prowadzącym dializy otrzewnowe</w:t>
            </w:r>
          </w:p>
          <w:p w14:paraId="6ADAFC2D"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3) Umożliwienie realizacji świadczeń w zakresie porad psychologicznych, dietetycznych, edukacyjnych i zabiegów fizjoterapeutycznych</w:t>
            </w:r>
          </w:p>
        </w:tc>
      </w:tr>
      <w:tr w:rsidR="00E54B2D" w:rsidRPr="00C57815" w14:paraId="6A4780B0" w14:textId="77777777" w:rsidTr="005C0E8A">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567041"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3F1D52D7"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1700" w:type="dxa"/>
            <w:vMerge/>
            <w:tcBorders>
              <w:top w:val="single" w:sz="8" w:space="0" w:color="000000"/>
              <w:left w:val="single" w:sz="8" w:space="0" w:color="000000"/>
              <w:bottom w:val="single" w:sz="8" w:space="0" w:color="000000"/>
              <w:right w:val="single" w:sz="8" w:space="0" w:color="000000"/>
            </w:tcBorders>
            <w:vAlign w:val="center"/>
            <w:hideMark/>
          </w:tcPr>
          <w:p w14:paraId="62FFEB3A"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6664" w:type="dxa"/>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EF00A35"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Warunki jakościowe realizacji świadczenia</w:t>
            </w:r>
          </w:p>
          <w:p w14:paraId="29C44994"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kern w:val="24"/>
                <w:sz w:val="20"/>
                <w:lang w:val="pl-PL" w:eastAsia="pl-PL"/>
              </w:rPr>
              <w:t>Patrz kolejna tabela</w:t>
            </w:r>
          </w:p>
        </w:tc>
      </w:tr>
      <w:tr w:rsidR="00E54B2D" w:rsidRPr="00E54B2D" w14:paraId="794AB291" w14:textId="77777777" w:rsidTr="005C0E8A">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20DC8B"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0BB99CF6"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6AC74263" w14:textId="77777777" w:rsidR="00E54B2D" w:rsidRPr="00E54B2D" w:rsidRDefault="00E54B2D" w:rsidP="00E54B2D">
            <w:pPr>
              <w:widowControl/>
              <w:autoSpaceDE/>
              <w:autoSpaceDN/>
              <w:adjustRightInd/>
              <w:spacing w:before="0" w:after="0" w:line="240" w:lineRule="auto"/>
              <w:jc w:val="left"/>
              <w:rPr>
                <w:sz w:val="20"/>
                <w:lang w:val="pl-PL" w:eastAsia="pl-PL"/>
              </w:rPr>
            </w:pPr>
            <w:r w:rsidRPr="00E54B2D">
              <w:rPr>
                <w:kern w:val="24"/>
                <w:sz w:val="20"/>
                <w:lang w:val="pl-PL" w:eastAsia="pl-PL"/>
              </w:rPr>
              <w:t>Dodatkowe warunki</w:t>
            </w:r>
          </w:p>
        </w:tc>
      </w:tr>
      <w:tr w:rsidR="00E54B2D" w:rsidRPr="00C57815" w14:paraId="6F43AECE" w14:textId="77777777" w:rsidTr="005C0E8A">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B16660"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DB15AE6"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i/>
                <w:iCs/>
                <w:kern w:val="24"/>
                <w:sz w:val="20"/>
                <w:lang w:val="pl-PL" w:eastAsia="pl-PL"/>
              </w:rPr>
              <w:t>Kryteria usieciowienia</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27F90438" w14:textId="77777777" w:rsidR="00E54B2D" w:rsidRPr="00E54B2D" w:rsidRDefault="00E54B2D" w:rsidP="00E54B2D">
            <w:pPr>
              <w:widowControl/>
              <w:autoSpaceDE/>
              <w:autoSpaceDN/>
              <w:adjustRightInd/>
              <w:spacing w:before="0" w:after="0" w:line="240" w:lineRule="auto"/>
              <w:jc w:val="left"/>
              <w:rPr>
                <w:rFonts w:eastAsia="Calibri"/>
                <w:kern w:val="24"/>
                <w:sz w:val="20"/>
                <w:lang w:val="pl-PL" w:eastAsia="pl-PL"/>
              </w:rPr>
            </w:pPr>
            <w:r w:rsidRPr="00E54B2D">
              <w:rPr>
                <w:rFonts w:eastAsia="Calibri"/>
                <w:kern w:val="24"/>
                <w:sz w:val="20"/>
                <w:lang w:val="pl-PL" w:eastAsia="pl-PL"/>
              </w:rPr>
              <w:t xml:space="preserve">Kryteria populacyjne - </w:t>
            </w:r>
          </w:p>
          <w:p w14:paraId="1723A9F2" w14:textId="77777777" w:rsidR="00E54B2D" w:rsidRPr="00E54B2D" w:rsidRDefault="00E54B2D" w:rsidP="00E54B2D">
            <w:pPr>
              <w:widowControl/>
              <w:autoSpaceDE/>
              <w:autoSpaceDN/>
              <w:adjustRightInd/>
              <w:spacing w:before="0" w:after="0" w:line="240" w:lineRule="auto"/>
              <w:jc w:val="left"/>
              <w:rPr>
                <w:rFonts w:eastAsia="Calibri"/>
                <w:kern w:val="24"/>
                <w:sz w:val="20"/>
                <w:lang w:val="pl-PL" w:eastAsia="pl-PL"/>
              </w:rPr>
            </w:pPr>
            <w:r w:rsidRPr="00E54B2D">
              <w:rPr>
                <w:rFonts w:eastAsia="Calibri"/>
                <w:kern w:val="24"/>
                <w:sz w:val="20"/>
                <w:lang w:val="pl-PL" w:eastAsia="pl-PL"/>
              </w:rPr>
              <w:t>W zależności od wybranego scenariusza:</w:t>
            </w:r>
          </w:p>
          <w:p w14:paraId="4E3B54F9" w14:textId="77777777" w:rsidR="00E54B2D" w:rsidRPr="00E54B2D" w:rsidRDefault="00E54B2D" w:rsidP="00E54B2D">
            <w:pPr>
              <w:widowControl/>
              <w:autoSpaceDE/>
              <w:autoSpaceDN/>
              <w:adjustRightInd/>
              <w:spacing w:before="0" w:after="0" w:line="240" w:lineRule="auto"/>
              <w:jc w:val="left"/>
              <w:rPr>
                <w:rFonts w:eastAsia="Calibri"/>
                <w:kern w:val="24"/>
                <w:sz w:val="20"/>
                <w:lang w:val="pl-PL" w:eastAsia="pl-PL"/>
              </w:rPr>
            </w:pPr>
            <w:r w:rsidRPr="00E54B2D">
              <w:rPr>
                <w:rFonts w:eastAsia="Calibri"/>
                <w:kern w:val="24"/>
                <w:sz w:val="20"/>
                <w:lang w:val="pl-PL" w:eastAsia="pl-PL"/>
              </w:rPr>
              <w:t>CKD 3b – ok 154 tysiące pacjentów (penetracja 25%)</w:t>
            </w:r>
          </w:p>
          <w:p w14:paraId="5537A6CD" w14:textId="77777777" w:rsidR="00E54B2D" w:rsidRPr="00E54B2D" w:rsidRDefault="00E54B2D" w:rsidP="00E54B2D">
            <w:pPr>
              <w:widowControl/>
              <w:autoSpaceDE/>
              <w:autoSpaceDN/>
              <w:adjustRightInd/>
              <w:spacing w:before="0" w:after="0" w:line="240" w:lineRule="auto"/>
              <w:jc w:val="left"/>
              <w:rPr>
                <w:rFonts w:eastAsia="Calibri"/>
                <w:kern w:val="24"/>
                <w:sz w:val="20"/>
                <w:lang w:val="pl-PL" w:eastAsia="pl-PL"/>
              </w:rPr>
            </w:pPr>
            <w:r w:rsidRPr="00E54B2D">
              <w:rPr>
                <w:rFonts w:eastAsia="Calibri"/>
                <w:kern w:val="24"/>
                <w:sz w:val="20"/>
                <w:lang w:val="pl-PL" w:eastAsia="pl-PL"/>
              </w:rPr>
              <w:t>CKD 4 A1/A2 – ok 27 tysięcy pacjentów (penetracja 50%)</w:t>
            </w:r>
          </w:p>
          <w:p w14:paraId="5306F837" w14:textId="77777777" w:rsidR="00E54B2D" w:rsidRPr="00E54B2D" w:rsidRDefault="00E54B2D" w:rsidP="00E54B2D">
            <w:pPr>
              <w:widowControl/>
              <w:autoSpaceDE/>
              <w:autoSpaceDN/>
              <w:adjustRightInd/>
              <w:spacing w:before="0" w:after="0" w:line="240" w:lineRule="auto"/>
              <w:jc w:val="left"/>
              <w:rPr>
                <w:rFonts w:eastAsia="Calibri"/>
                <w:kern w:val="24"/>
                <w:sz w:val="20"/>
                <w:lang w:val="pl-PL" w:eastAsia="pl-PL"/>
              </w:rPr>
            </w:pPr>
            <w:r w:rsidRPr="00E54B2D">
              <w:rPr>
                <w:rFonts w:eastAsia="Calibri"/>
                <w:kern w:val="24"/>
                <w:sz w:val="20"/>
                <w:lang w:val="pl-PL" w:eastAsia="pl-PL"/>
              </w:rPr>
              <w:t>CKD 4 A3/ CKD 5 – ok 36,5 tysiąca pacjentów (penetracja 60%)</w:t>
            </w:r>
          </w:p>
          <w:p w14:paraId="4D6D257B" w14:textId="77777777" w:rsidR="00E54B2D" w:rsidRPr="00E54B2D" w:rsidRDefault="00E54B2D" w:rsidP="00E54B2D">
            <w:pPr>
              <w:widowControl/>
              <w:autoSpaceDE/>
              <w:autoSpaceDN/>
              <w:adjustRightInd/>
              <w:spacing w:before="0" w:after="0" w:line="240" w:lineRule="auto"/>
              <w:jc w:val="left"/>
              <w:rPr>
                <w:sz w:val="20"/>
                <w:lang w:val="pl-PL" w:eastAsia="pl-PL"/>
              </w:rPr>
            </w:pPr>
            <w:r w:rsidRPr="00E54B2D">
              <w:rPr>
                <w:rFonts w:eastAsia="Calibri"/>
                <w:kern w:val="24"/>
                <w:sz w:val="20"/>
                <w:lang w:val="pl-PL" w:eastAsia="pl-PL"/>
              </w:rPr>
              <w:t>CKD 5 d – ok 20 tysięcy pacjentów (penetracja 100%)</w:t>
            </w:r>
          </w:p>
        </w:tc>
      </w:tr>
      <w:tr w:rsidR="00E54B2D" w:rsidRPr="00E54B2D" w14:paraId="7471CB38" w14:textId="77777777" w:rsidTr="005C0E8A">
        <w:trPr>
          <w:trHeight w:val="3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2960DD9"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219DFECC"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45449E18" w14:textId="77777777" w:rsidR="00E54B2D" w:rsidRPr="00E54B2D" w:rsidRDefault="00E54B2D" w:rsidP="00E54B2D">
            <w:pPr>
              <w:widowControl/>
              <w:autoSpaceDE/>
              <w:autoSpaceDN/>
              <w:adjustRightInd/>
              <w:spacing w:before="0" w:after="0" w:line="240" w:lineRule="auto"/>
              <w:jc w:val="left"/>
              <w:rPr>
                <w:sz w:val="20"/>
                <w:lang w:val="pl-PL" w:eastAsia="pl-PL"/>
              </w:rPr>
            </w:pPr>
            <w:r w:rsidRPr="00E54B2D">
              <w:rPr>
                <w:rFonts w:eastAsia="Calibri"/>
                <w:kern w:val="24"/>
                <w:sz w:val="20"/>
                <w:lang w:val="pl-PL" w:eastAsia="pl-PL"/>
              </w:rPr>
              <w:t>Kryteria geograficzne – cała Polska</w:t>
            </w:r>
          </w:p>
        </w:tc>
      </w:tr>
      <w:tr w:rsidR="00E54B2D" w:rsidRPr="00C57815" w14:paraId="6865AC66" w14:textId="77777777" w:rsidTr="005C0E8A">
        <w:trPr>
          <w:trHeight w:val="4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8E0EA4"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0D4879E" w14:textId="77777777" w:rsidR="00E54B2D" w:rsidRPr="00E54B2D" w:rsidRDefault="00E54B2D" w:rsidP="00E54B2D">
            <w:pPr>
              <w:widowControl/>
              <w:autoSpaceDE/>
              <w:autoSpaceDN/>
              <w:adjustRightInd/>
              <w:spacing w:before="0" w:after="0" w:line="256" w:lineRule="auto"/>
              <w:jc w:val="left"/>
              <w:rPr>
                <w:sz w:val="20"/>
                <w:lang w:val="pl-PL" w:eastAsia="pl-PL"/>
              </w:rPr>
            </w:pPr>
            <w:r w:rsidRPr="00E54B2D">
              <w:rPr>
                <w:rFonts w:eastAsia="Calibri"/>
                <w:b/>
                <w:bCs/>
                <w:kern w:val="24"/>
                <w:sz w:val="20"/>
                <w:lang w:val="pl-PL" w:eastAsia="pl-PL"/>
              </w:rPr>
              <w:t>IV. Warunki monitorowania efektu świadczenia</w:t>
            </w: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74636A4C"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Wskaźniki monitorowania bezpieczeństwa i skuteczności leczenia</w:t>
            </w:r>
          </w:p>
          <w:p w14:paraId="24F1E4C4" w14:textId="77777777" w:rsidR="00E54B2D" w:rsidRPr="00E54B2D" w:rsidRDefault="00E54B2D" w:rsidP="00E54B2D">
            <w:pPr>
              <w:widowControl/>
              <w:autoSpaceDE/>
              <w:autoSpaceDN/>
              <w:adjustRightInd/>
              <w:ind w:left="288" w:hanging="288"/>
              <w:rPr>
                <w:rFonts w:eastAsia="Calibri"/>
                <w:kern w:val="12"/>
                <w:sz w:val="20"/>
                <w:lang w:val="pl-PL"/>
              </w:rPr>
            </w:pPr>
            <w:r w:rsidRPr="00E54B2D">
              <w:rPr>
                <w:rFonts w:eastAsia="Calibri"/>
                <w:kern w:val="12"/>
                <w:sz w:val="20"/>
                <w:lang w:val="pl-PL"/>
              </w:rPr>
              <w:t>Dla populacji pacjentów dializowanych:</w:t>
            </w:r>
          </w:p>
          <w:p w14:paraId="6EE1FBA8" w14:textId="77777777" w:rsidR="00E54B2D" w:rsidRPr="00E54B2D" w:rsidRDefault="00E54B2D" w:rsidP="00E54B2D">
            <w:pPr>
              <w:widowControl/>
              <w:numPr>
                <w:ilvl w:val="0"/>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W obszarze wyników leczenia</w:t>
            </w:r>
          </w:p>
          <w:p w14:paraId="78837B97" w14:textId="34228187" w:rsidR="008371BB" w:rsidRPr="00E54B2D" w:rsidRDefault="008371BB" w:rsidP="008371BB">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liczba hospitalizacji/pacjenta/rok (liczba przyjęć w roku) </w:t>
            </w:r>
          </w:p>
          <w:p w14:paraId="3BB3B715" w14:textId="3F677337" w:rsidR="008371BB" w:rsidRPr="008371BB" w:rsidRDefault="008371BB" w:rsidP="008371BB">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długość hospitalizacji/pacjenta/rok (liczba dni w roku) </w:t>
            </w:r>
          </w:p>
          <w:p w14:paraId="6E804EAB"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liczba hospitalizacji/pacjenta/rok (liczba przyjęć w roku) z powodu powikłań dostępów</w:t>
            </w:r>
          </w:p>
          <w:p w14:paraId="4B56F307"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długość hospitalizacji/pacjenta/rok (liczba dni w roku) z powodu powikłań dostępów</w:t>
            </w:r>
          </w:p>
          <w:p w14:paraId="20E46EDB" w14:textId="77777777" w:rsidR="003B1337" w:rsidRPr="00E54B2D" w:rsidRDefault="003B1337" w:rsidP="003B1337">
            <w:pPr>
              <w:widowControl/>
              <w:numPr>
                <w:ilvl w:val="1"/>
                <w:numId w:val="11"/>
              </w:numPr>
              <w:autoSpaceDE/>
              <w:autoSpaceDN/>
              <w:adjustRightInd/>
              <w:spacing w:before="0" w:after="160" w:line="259" w:lineRule="auto"/>
              <w:jc w:val="left"/>
              <w:rPr>
                <w:rFonts w:eastAsia="Calibri"/>
                <w:kern w:val="12"/>
                <w:sz w:val="20"/>
                <w:lang w:val="pl-PL"/>
              </w:rPr>
            </w:pPr>
            <w:r>
              <w:rPr>
                <w:rFonts w:eastAsia="Calibri"/>
                <w:kern w:val="12"/>
                <w:sz w:val="20"/>
                <w:lang w:val="pl-PL"/>
              </w:rPr>
              <w:t xml:space="preserve">liczba chorych, którzy zakończyli dializoterapię – </w:t>
            </w:r>
            <w:r w:rsidRPr="003B1337">
              <w:rPr>
                <w:rFonts w:eastAsia="Calibri"/>
                <w:kern w:val="12"/>
                <w:sz w:val="20"/>
                <w:lang w:val="pl-PL"/>
              </w:rPr>
              <w:t>liczba chorych, którzy zakończyli dializoterapię w danym ośrodku z przyczyn innych, niż przeszczep, powrót czynności nerek lub przeniesienie do innego ośrodka (z podaniem nazwy ośrodka)</w:t>
            </w:r>
          </w:p>
          <w:p w14:paraId="61B62596" w14:textId="77777777" w:rsid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lastRenderedPageBreak/>
              <w:t>skorygowana śmiertelność - śmiertelność względem czasu dializoterapii liczona według algorytmu: liczba zgonów w miesiącu podzielona przez średnią z liczby chorych dializowanych na początku i na końcu miesiąca, wyrażona w procentach, u chorych dializowanych przynajmniej 3 miesiące</w:t>
            </w:r>
          </w:p>
          <w:p w14:paraId="23CCE7BA" w14:textId="77777777" w:rsidR="00E54B2D" w:rsidRPr="00B8329A"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jakość życia pacjentów dializowanych uwarunkowana stanem zdrowia – samoocena pacjenta dotycząca wpływu choroby i stosowanego leczenia na jego funkcjonowanie w zakresie fizycznym, psychicznym i społecznym za pomocą ujednoliconego kwestionariusza takiego jak np. </w:t>
            </w:r>
            <w:proofErr w:type="spellStart"/>
            <w:r w:rsidRPr="00B8329A">
              <w:rPr>
                <w:rFonts w:eastAsia="Calibri"/>
                <w:kern w:val="12"/>
                <w:sz w:val="20"/>
                <w:lang w:val="pl-PL"/>
              </w:rPr>
              <w:t>Kidney</w:t>
            </w:r>
            <w:proofErr w:type="spellEnd"/>
            <w:r w:rsidRPr="00B8329A">
              <w:rPr>
                <w:rFonts w:eastAsia="Calibri"/>
                <w:kern w:val="12"/>
                <w:sz w:val="20"/>
                <w:lang w:val="pl-PL"/>
              </w:rPr>
              <w:t xml:space="preserve"> </w:t>
            </w:r>
            <w:proofErr w:type="spellStart"/>
            <w:r w:rsidRPr="00B8329A">
              <w:rPr>
                <w:rFonts w:eastAsia="Calibri"/>
                <w:kern w:val="12"/>
                <w:sz w:val="20"/>
                <w:lang w:val="pl-PL"/>
              </w:rPr>
              <w:t>Disease</w:t>
            </w:r>
            <w:proofErr w:type="spellEnd"/>
            <w:r w:rsidRPr="00B8329A">
              <w:rPr>
                <w:rFonts w:eastAsia="Calibri"/>
                <w:kern w:val="12"/>
                <w:sz w:val="20"/>
                <w:lang w:val="pl-PL"/>
              </w:rPr>
              <w:t xml:space="preserve"> and </w:t>
            </w:r>
            <w:proofErr w:type="spellStart"/>
            <w:r w:rsidRPr="00B8329A">
              <w:rPr>
                <w:rFonts w:eastAsia="Calibri"/>
                <w:kern w:val="12"/>
                <w:sz w:val="20"/>
                <w:lang w:val="pl-PL"/>
              </w:rPr>
              <w:t>Quality</w:t>
            </w:r>
            <w:proofErr w:type="spellEnd"/>
            <w:r w:rsidRPr="00B8329A">
              <w:rPr>
                <w:rFonts w:eastAsia="Calibri"/>
                <w:kern w:val="12"/>
                <w:sz w:val="20"/>
                <w:lang w:val="pl-PL"/>
              </w:rPr>
              <w:t xml:space="preserve"> of Life™ </w:t>
            </w:r>
            <w:proofErr w:type="spellStart"/>
            <w:r w:rsidRPr="00B8329A">
              <w:rPr>
                <w:rFonts w:eastAsia="Calibri"/>
                <w:kern w:val="12"/>
                <w:sz w:val="20"/>
                <w:lang w:val="pl-PL"/>
              </w:rPr>
              <w:t>Short</w:t>
            </w:r>
            <w:proofErr w:type="spellEnd"/>
            <w:r w:rsidRPr="00B8329A">
              <w:rPr>
                <w:rFonts w:eastAsia="Calibri"/>
                <w:kern w:val="12"/>
                <w:sz w:val="20"/>
                <w:lang w:val="pl-PL"/>
              </w:rPr>
              <w:t xml:space="preserve"> Form (KDQOL-SF™) lub innego formularza wypracowanego w trakcie pilotażu</w:t>
            </w:r>
          </w:p>
          <w:p w14:paraId="06E28432" w14:textId="77777777" w:rsidR="00E54B2D" w:rsidRPr="00E54B2D" w:rsidRDefault="00E54B2D" w:rsidP="00E54B2D">
            <w:pPr>
              <w:widowControl/>
              <w:numPr>
                <w:ilvl w:val="0"/>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W obszarze parametrów leczenia</w:t>
            </w:r>
          </w:p>
          <w:p w14:paraId="3AF6196D"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HD i DO: wskaźnik </w:t>
            </w:r>
            <w:proofErr w:type="spellStart"/>
            <w:r w:rsidRPr="00E54B2D">
              <w:rPr>
                <w:rFonts w:eastAsia="Calibri"/>
                <w:kern w:val="12"/>
                <w:sz w:val="20"/>
                <w:lang w:val="pl-PL"/>
              </w:rPr>
              <w:t>współchorobowości</w:t>
            </w:r>
            <w:proofErr w:type="spellEnd"/>
            <w:r w:rsidRPr="00E54B2D">
              <w:rPr>
                <w:rFonts w:eastAsia="Calibri"/>
                <w:kern w:val="12"/>
                <w:sz w:val="20"/>
                <w:lang w:val="pl-PL"/>
              </w:rPr>
              <w:t xml:space="preserve"> </w:t>
            </w:r>
            <w:proofErr w:type="spellStart"/>
            <w:r w:rsidRPr="00E54B2D">
              <w:rPr>
                <w:rFonts w:eastAsia="Calibri"/>
                <w:kern w:val="12"/>
                <w:sz w:val="20"/>
                <w:lang w:val="pl-PL"/>
              </w:rPr>
              <w:t>Charlson</w:t>
            </w:r>
            <w:proofErr w:type="spellEnd"/>
            <w:r w:rsidRPr="00E54B2D">
              <w:rPr>
                <w:rFonts w:eastAsia="Calibri"/>
                <w:kern w:val="12"/>
                <w:sz w:val="20"/>
                <w:lang w:val="pl-PL"/>
              </w:rPr>
              <w:t xml:space="preserve"> z uwzględnieniem wieku (</w:t>
            </w:r>
            <w:proofErr w:type="spellStart"/>
            <w:r w:rsidRPr="00E54B2D">
              <w:rPr>
                <w:rFonts w:eastAsia="Calibri"/>
                <w:kern w:val="12"/>
                <w:sz w:val="20"/>
                <w:lang w:val="pl-PL"/>
              </w:rPr>
              <w:t>AaCCIs</w:t>
            </w:r>
            <w:proofErr w:type="spellEnd"/>
            <w:r w:rsidRPr="00E54B2D">
              <w:rPr>
                <w:rFonts w:eastAsia="Calibri"/>
                <w:kern w:val="12"/>
                <w:sz w:val="20"/>
                <w:lang w:val="pl-PL"/>
              </w:rPr>
              <w:t>)</w:t>
            </w:r>
          </w:p>
          <w:p w14:paraId="0E3A4B55" w14:textId="171EB613" w:rsidR="00E54B2D" w:rsidRPr="007C01D1" w:rsidRDefault="00E54B2D" w:rsidP="007C01D1">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HD: Dostęp naczyniowy – odsetek chorych z przetoką lub </w:t>
            </w:r>
            <w:proofErr w:type="spellStart"/>
            <w:r w:rsidRPr="00E54B2D">
              <w:rPr>
                <w:rFonts w:eastAsia="Calibri"/>
                <w:kern w:val="12"/>
                <w:sz w:val="20"/>
                <w:lang w:val="pl-PL"/>
              </w:rPr>
              <w:t>graftem</w:t>
            </w:r>
            <w:proofErr w:type="spellEnd"/>
            <w:r w:rsidR="007C01D1">
              <w:rPr>
                <w:rFonts w:eastAsia="Calibri"/>
                <w:kern w:val="12"/>
                <w:sz w:val="20"/>
                <w:lang w:val="pl-PL"/>
              </w:rPr>
              <w:t xml:space="preserve"> </w:t>
            </w:r>
            <w:r w:rsidR="007C01D1" w:rsidRPr="007C01D1">
              <w:rPr>
                <w:sz w:val="20"/>
                <w:lang w:val="pl-PL"/>
              </w:rPr>
              <w:t>u chorych dializowanych przynajmniej 3 miesiące</w:t>
            </w:r>
            <w:r w:rsidR="007C01D1">
              <w:rPr>
                <w:rFonts w:eastAsia="Calibri"/>
                <w:kern w:val="12"/>
                <w:sz w:val="20"/>
                <w:lang w:val="pl-PL"/>
              </w:rPr>
              <w:t xml:space="preserve"> </w:t>
            </w:r>
            <w:r w:rsidRPr="007C01D1">
              <w:rPr>
                <w:rFonts w:eastAsia="Calibri"/>
                <w:kern w:val="12"/>
                <w:sz w:val="20"/>
                <w:lang w:val="pl-PL"/>
              </w:rPr>
              <w:t>(parametr oceniany co miesiąc)</w:t>
            </w:r>
          </w:p>
          <w:p w14:paraId="6D68C275" w14:textId="3262CB31" w:rsidR="00E54B2D" w:rsidRPr="008371BB" w:rsidRDefault="00E54B2D" w:rsidP="00E54B2D">
            <w:pPr>
              <w:widowControl/>
              <w:numPr>
                <w:ilvl w:val="1"/>
                <w:numId w:val="11"/>
              </w:numPr>
              <w:autoSpaceDE/>
              <w:autoSpaceDN/>
              <w:adjustRightInd/>
              <w:spacing w:before="0" w:after="160" w:line="259" w:lineRule="auto"/>
              <w:jc w:val="left"/>
              <w:rPr>
                <w:rFonts w:eastAsia="Calibri"/>
                <w:i/>
                <w:kern w:val="12"/>
                <w:sz w:val="20"/>
                <w:lang w:val="pl-PL"/>
              </w:rPr>
            </w:pPr>
            <w:r w:rsidRPr="00E54B2D">
              <w:rPr>
                <w:rFonts w:eastAsia="Calibri"/>
                <w:kern w:val="12"/>
                <w:sz w:val="20"/>
                <w:lang w:val="pl-PL"/>
              </w:rPr>
              <w:t xml:space="preserve">HD: Dostęp </w:t>
            </w:r>
            <w:r w:rsidRPr="007C01D1">
              <w:rPr>
                <w:rFonts w:eastAsia="Calibri"/>
                <w:kern w:val="12"/>
                <w:sz w:val="20"/>
                <w:lang w:val="pl-PL"/>
              </w:rPr>
              <w:t xml:space="preserve">naczyniowy – odsetek chorych z cewnikiem </w:t>
            </w:r>
            <w:r w:rsidR="007C01D1" w:rsidRPr="007C01D1">
              <w:rPr>
                <w:sz w:val="20"/>
                <w:lang w:val="pl-PL"/>
              </w:rPr>
              <w:t>czasowym (ostrym) u chorych dializowanych przynajmniej 3 miesiące</w:t>
            </w:r>
          </w:p>
          <w:p w14:paraId="66F906C0" w14:textId="77777777" w:rsidR="00E54B2D" w:rsidRPr="008371BB" w:rsidRDefault="00E54B2D" w:rsidP="00E54B2D">
            <w:pPr>
              <w:widowControl/>
              <w:numPr>
                <w:ilvl w:val="1"/>
                <w:numId w:val="11"/>
              </w:numPr>
              <w:autoSpaceDE/>
              <w:autoSpaceDN/>
              <w:adjustRightInd/>
              <w:spacing w:before="0" w:after="160" w:line="259" w:lineRule="auto"/>
              <w:jc w:val="left"/>
              <w:rPr>
                <w:rFonts w:eastAsia="Calibri"/>
                <w:i/>
                <w:kern w:val="12"/>
                <w:sz w:val="20"/>
                <w:lang w:val="pl-PL"/>
              </w:rPr>
            </w:pPr>
            <w:r w:rsidRPr="008371BB">
              <w:rPr>
                <w:rFonts w:eastAsia="Calibri"/>
                <w:i/>
                <w:kern w:val="12"/>
                <w:sz w:val="20"/>
                <w:lang w:val="pl-PL"/>
              </w:rPr>
              <w:t xml:space="preserve">HD: dawka dializy </w:t>
            </w:r>
            <w:proofErr w:type="spellStart"/>
            <w:r w:rsidRPr="008371BB">
              <w:rPr>
                <w:rFonts w:eastAsia="Calibri"/>
                <w:i/>
                <w:kern w:val="12"/>
                <w:sz w:val="20"/>
                <w:lang w:val="pl-PL"/>
              </w:rPr>
              <w:t>spkT</w:t>
            </w:r>
            <w:proofErr w:type="spellEnd"/>
            <w:r w:rsidRPr="008371BB">
              <w:rPr>
                <w:rFonts w:eastAsia="Calibri"/>
                <w:i/>
                <w:kern w:val="12"/>
                <w:sz w:val="20"/>
                <w:lang w:val="pl-PL"/>
              </w:rPr>
              <w:t>/V (parametr określany co miesiąc)</w:t>
            </w:r>
          </w:p>
          <w:p w14:paraId="7A84E484"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DO: dawka dializy tygodniowy </w:t>
            </w:r>
            <w:proofErr w:type="spellStart"/>
            <w:r w:rsidRPr="00E54B2D">
              <w:rPr>
                <w:rFonts w:eastAsia="Calibri"/>
                <w:kern w:val="12"/>
                <w:sz w:val="20"/>
                <w:lang w:val="pl-PL"/>
              </w:rPr>
              <w:t>kT</w:t>
            </w:r>
            <w:proofErr w:type="spellEnd"/>
            <w:r w:rsidRPr="00E54B2D">
              <w:rPr>
                <w:rFonts w:eastAsia="Calibri"/>
                <w:kern w:val="12"/>
                <w:sz w:val="20"/>
                <w:lang w:val="pl-PL"/>
              </w:rPr>
              <w:t xml:space="preserve">/V (parametr określany co 6 tygodni) </w:t>
            </w:r>
          </w:p>
          <w:p w14:paraId="573F83F4"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Stan nawodnienia oceniany co 3 miesiące jedną z metod wymienionych poniżej:</w:t>
            </w:r>
          </w:p>
          <w:p w14:paraId="3AB605FA" w14:textId="77777777" w:rsidR="00E54B2D" w:rsidRPr="00E54B2D" w:rsidRDefault="00E54B2D" w:rsidP="00E54B2D">
            <w:pPr>
              <w:widowControl/>
              <w:numPr>
                <w:ilvl w:val="1"/>
                <w:numId w:val="11"/>
              </w:numPr>
              <w:tabs>
                <w:tab w:val="num" w:pos="861"/>
              </w:tabs>
              <w:autoSpaceDE/>
              <w:autoSpaceDN/>
              <w:adjustRightInd/>
              <w:spacing w:before="0" w:after="160" w:line="259" w:lineRule="auto"/>
              <w:ind w:left="861"/>
              <w:jc w:val="left"/>
              <w:rPr>
                <w:rFonts w:eastAsia="Calibri"/>
                <w:kern w:val="12"/>
                <w:sz w:val="20"/>
                <w:lang w:val="pl-PL"/>
              </w:rPr>
            </w:pPr>
            <w:r w:rsidRPr="00E54B2D">
              <w:rPr>
                <w:rFonts w:eastAsia="Calibri"/>
                <w:kern w:val="12"/>
                <w:sz w:val="20"/>
                <w:lang w:val="pl-PL"/>
              </w:rPr>
              <w:t xml:space="preserve">metodą </w:t>
            </w:r>
            <w:proofErr w:type="spellStart"/>
            <w:r w:rsidRPr="00E54B2D">
              <w:rPr>
                <w:rFonts w:eastAsia="Calibri"/>
                <w:kern w:val="12"/>
                <w:sz w:val="20"/>
                <w:lang w:val="pl-PL"/>
              </w:rPr>
              <w:t>bioimpedancji</w:t>
            </w:r>
            <w:proofErr w:type="spellEnd"/>
            <w:r w:rsidRPr="00E54B2D">
              <w:rPr>
                <w:rFonts w:eastAsia="Calibri"/>
                <w:kern w:val="12"/>
                <w:sz w:val="20"/>
                <w:lang w:val="pl-PL"/>
              </w:rPr>
              <w:t xml:space="preserve"> (parametr określany co 3 miesiące)</w:t>
            </w:r>
          </w:p>
          <w:p w14:paraId="74101598" w14:textId="77777777" w:rsidR="00E54B2D" w:rsidRPr="00E54B2D" w:rsidRDefault="00E54B2D" w:rsidP="00E54B2D">
            <w:pPr>
              <w:widowControl/>
              <w:numPr>
                <w:ilvl w:val="1"/>
                <w:numId w:val="11"/>
              </w:numPr>
              <w:tabs>
                <w:tab w:val="num" w:pos="861"/>
              </w:tabs>
              <w:autoSpaceDE/>
              <w:autoSpaceDN/>
              <w:adjustRightInd/>
              <w:spacing w:before="0" w:after="160" w:line="259" w:lineRule="auto"/>
              <w:ind w:left="861"/>
              <w:jc w:val="left"/>
              <w:rPr>
                <w:rFonts w:eastAsia="Calibri"/>
                <w:kern w:val="12"/>
                <w:sz w:val="20"/>
                <w:lang w:val="pl-PL"/>
              </w:rPr>
            </w:pPr>
            <w:proofErr w:type="spellStart"/>
            <w:r w:rsidRPr="00E54B2D">
              <w:rPr>
                <w:rFonts w:eastAsia="Calibri"/>
                <w:kern w:val="12"/>
                <w:sz w:val="20"/>
                <w:lang w:val="pl-PL"/>
              </w:rPr>
              <w:t>wspólczynnik</w:t>
            </w:r>
            <w:proofErr w:type="spellEnd"/>
            <w:r w:rsidRPr="00E54B2D">
              <w:rPr>
                <w:rFonts w:eastAsia="Calibri"/>
                <w:kern w:val="12"/>
                <w:sz w:val="20"/>
                <w:lang w:val="pl-PL"/>
              </w:rPr>
              <w:t xml:space="preserve"> </w:t>
            </w:r>
            <w:proofErr w:type="spellStart"/>
            <w:r w:rsidRPr="00E54B2D">
              <w:rPr>
                <w:rFonts w:eastAsia="Calibri"/>
                <w:kern w:val="12"/>
                <w:sz w:val="20"/>
                <w:lang w:val="pl-PL"/>
              </w:rPr>
              <w:t>ultrafitracji</w:t>
            </w:r>
            <w:proofErr w:type="spellEnd"/>
            <w:r w:rsidRPr="00E54B2D">
              <w:rPr>
                <w:rFonts w:eastAsia="Calibri"/>
                <w:kern w:val="12"/>
                <w:sz w:val="20"/>
                <w:lang w:val="pl-PL"/>
              </w:rPr>
              <w:t xml:space="preserve"> na godzinę HD na kg suchej masy ciała</w:t>
            </w:r>
          </w:p>
          <w:p w14:paraId="281956E4" w14:textId="77777777" w:rsidR="00E54B2D" w:rsidRPr="00E54B2D" w:rsidRDefault="00E54B2D" w:rsidP="00E54B2D">
            <w:pPr>
              <w:widowControl/>
              <w:numPr>
                <w:ilvl w:val="1"/>
                <w:numId w:val="11"/>
              </w:numPr>
              <w:tabs>
                <w:tab w:val="num" w:pos="861"/>
              </w:tabs>
              <w:autoSpaceDE/>
              <w:autoSpaceDN/>
              <w:adjustRightInd/>
              <w:spacing w:before="0" w:after="160" w:line="259" w:lineRule="auto"/>
              <w:ind w:left="861"/>
              <w:jc w:val="left"/>
              <w:rPr>
                <w:rFonts w:eastAsia="Calibri"/>
                <w:kern w:val="12"/>
                <w:sz w:val="20"/>
                <w:lang w:val="pl-PL"/>
              </w:rPr>
            </w:pPr>
            <w:proofErr w:type="spellStart"/>
            <w:r w:rsidRPr="00E54B2D">
              <w:rPr>
                <w:rFonts w:eastAsia="Calibri"/>
                <w:kern w:val="12"/>
                <w:sz w:val="20"/>
                <w:lang w:val="pl-PL"/>
              </w:rPr>
              <w:t>międdzydializacyjny</w:t>
            </w:r>
            <w:proofErr w:type="spellEnd"/>
            <w:r w:rsidRPr="00E54B2D">
              <w:rPr>
                <w:rFonts w:eastAsia="Calibri"/>
                <w:kern w:val="12"/>
                <w:sz w:val="20"/>
                <w:lang w:val="pl-PL"/>
              </w:rPr>
              <w:t xml:space="preserve"> przybór masy ciała (masa przed HD – masa po poprzedniej HD)/sucha masa ciała) </w:t>
            </w:r>
          </w:p>
          <w:p w14:paraId="6F27273E" w14:textId="77777777" w:rsidR="00E54B2D" w:rsidRPr="00E54B2D" w:rsidRDefault="00E54B2D" w:rsidP="00E54B2D">
            <w:pPr>
              <w:widowControl/>
              <w:numPr>
                <w:ilvl w:val="1"/>
                <w:numId w:val="11"/>
              </w:numPr>
              <w:tabs>
                <w:tab w:val="num" w:pos="861"/>
              </w:tabs>
              <w:autoSpaceDE/>
              <w:autoSpaceDN/>
              <w:adjustRightInd/>
              <w:spacing w:before="0" w:after="160" w:line="259" w:lineRule="auto"/>
              <w:ind w:left="861"/>
              <w:jc w:val="left"/>
              <w:rPr>
                <w:rFonts w:eastAsia="Calibri"/>
                <w:kern w:val="12"/>
                <w:sz w:val="20"/>
                <w:lang w:val="pl-PL"/>
              </w:rPr>
            </w:pPr>
            <w:r w:rsidRPr="00E54B2D">
              <w:rPr>
                <w:rFonts w:eastAsia="Calibri"/>
                <w:kern w:val="12"/>
                <w:sz w:val="20"/>
                <w:lang w:val="pl-PL"/>
              </w:rPr>
              <w:t>na podstawie parametrów ultrafiltracji i ciśnienia tętniczego krwi</w:t>
            </w:r>
          </w:p>
          <w:p w14:paraId="4C195B20"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lastRenderedPageBreak/>
              <w:t xml:space="preserve">HD i DO: stan odżywienia pacjentów mierzony metodą </w:t>
            </w:r>
            <w:proofErr w:type="spellStart"/>
            <w:r w:rsidRPr="00E54B2D">
              <w:rPr>
                <w:rFonts w:eastAsia="Calibri"/>
                <w:kern w:val="12"/>
                <w:sz w:val="20"/>
                <w:lang w:val="pl-PL"/>
              </w:rPr>
              <w:t>bioimpedancji</w:t>
            </w:r>
            <w:proofErr w:type="spellEnd"/>
            <w:r w:rsidRPr="00E54B2D">
              <w:rPr>
                <w:rFonts w:eastAsia="Calibri"/>
                <w:kern w:val="12"/>
                <w:sz w:val="20"/>
                <w:lang w:val="pl-PL"/>
              </w:rPr>
              <w:t xml:space="preserve"> lub na podstawie stężenia albumin i kreatyniny albo skali SGA (parametr określany co 3 miesiące)</w:t>
            </w:r>
          </w:p>
          <w:p w14:paraId="03C9C028"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HD i DO: stężenie hemoglobiny (parametr określany co miesiąc)</w:t>
            </w:r>
          </w:p>
          <w:p w14:paraId="6DDD76BA"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HD: gospodarka wapniowo-fosforanowa </w:t>
            </w:r>
          </w:p>
          <w:p w14:paraId="6420A040" w14:textId="77777777" w:rsidR="00E54B2D" w:rsidRPr="00E54B2D" w:rsidRDefault="00E54B2D" w:rsidP="00E54B2D">
            <w:pPr>
              <w:widowControl/>
              <w:numPr>
                <w:ilvl w:val="2"/>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stężenie parathormonu (PTH) (parametr określany co 6 miesięcy)</w:t>
            </w:r>
          </w:p>
          <w:p w14:paraId="52B099A1" w14:textId="77777777" w:rsidR="00E54B2D" w:rsidRPr="00E54B2D" w:rsidRDefault="00E54B2D" w:rsidP="00E54B2D">
            <w:pPr>
              <w:widowControl/>
              <w:numPr>
                <w:ilvl w:val="2"/>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stężenie fosforanów (parametr określany co miesiąc)</w:t>
            </w:r>
          </w:p>
          <w:p w14:paraId="5C02A248"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DO: gospodarka wapniowo-fosforanowa </w:t>
            </w:r>
          </w:p>
          <w:p w14:paraId="6C189A77" w14:textId="77777777" w:rsidR="00E54B2D" w:rsidRPr="00E54B2D" w:rsidRDefault="00E54B2D" w:rsidP="00E54B2D">
            <w:pPr>
              <w:widowControl/>
              <w:numPr>
                <w:ilvl w:val="2"/>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stężenie parathormonu (PTH) (parametr określany co 6 miesięcy)</w:t>
            </w:r>
          </w:p>
          <w:p w14:paraId="06EAC02B" w14:textId="77777777" w:rsidR="00E54B2D" w:rsidRPr="00E54B2D" w:rsidRDefault="00E54B2D" w:rsidP="00E54B2D">
            <w:pPr>
              <w:widowControl/>
              <w:numPr>
                <w:ilvl w:val="2"/>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stężenie fosforanów (parametr określany co 6 tygodni)</w:t>
            </w:r>
          </w:p>
          <w:p w14:paraId="76DAEBB0"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powikłania infekcyjne w postaci zapalenia otrzewnej (DZO) w dializie otrzewnowej – liczba incydentów/1 pacjenta/rok</w:t>
            </w:r>
          </w:p>
          <w:p w14:paraId="4790B660" w14:textId="77777777" w:rsidR="00E54B2D" w:rsidRPr="00E54B2D" w:rsidRDefault="00E54B2D" w:rsidP="00E54B2D">
            <w:pPr>
              <w:widowControl/>
              <w:numPr>
                <w:ilvl w:val="0"/>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W obszarze transplantologii</w:t>
            </w:r>
          </w:p>
          <w:p w14:paraId="35C97136" w14:textId="682804D8" w:rsidR="00415A97" w:rsidRPr="00415A97" w:rsidRDefault="0056444F" w:rsidP="00E54B2D">
            <w:pPr>
              <w:widowControl/>
              <w:numPr>
                <w:ilvl w:val="1"/>
                <w:numId w:val="11"/>
              </w:numPr>
              <w:autoSpaceDE/>
              <w:autoSpaceDN/>
              <w:adjustRightInd/>
              <w:spacing w:before="0" w:after="160" w:line="259" w:lineRule="auto"/>
              <w:jc w:val="left"/>
              <w:rPr>
                <w:rFonts w:eastAsia="Calibri"/>
                <w:kern w:val="12"/>
                <w:sz w:val="20"/>
                <w:lang w:val="pl-PL"/>
              </w:rPr>
            </w:pPr>
            <w:r>
              <w:rPr>
                <w:sz w:val="18"/>
                <w:szCs w:val="18"/>
                <w:lang w:val="pl-PL"/>
              </w:rPr>
              <w:t>O</w:t>
            </w:r>
            <w:r w:rsidRPr="00415A97">
              <w:rPr>
                <w:sz w:val="18"/>
                <w:szCs w:val="18"/>
                <w:lang w:val="pl-PL"/>
              </w:rPr>
              <w:t>dsetek pacjentów zgłoszonych do przeszczepienia nerki</w:t>
            </w:r>
            <w:r w:rsidRPr="00415A97">
              <w:rPr>
                <w:rFonts w:eastAsia="Calibri"/>
                <w:kern w:val="12"/>
                <w:sz w:val="20"/>
                <w:lang w:val="pl-PL"/>
              </w:rPr>
              <w:t xml:space="preserve"> </w:t>
            </w:r>
            <w:r>
              <w:rPr>
                <w:rFonts w:eastAsia="Calibri"/>
                <w:kern w:val="12"/>
                <w:sz w:val="20"/>
                <w:lang w:val="pl-PL"/>
              </w:rPr>
              <w:t xml:space="preserve">- </w:t>
            </w:r>
            <w:r w:rsidR="00415A97" w:rsidRPr="00415A97">
              <w:rPr>
                <w:rFonts w:eastAsia="Calibri"/>
                <w:kern w:val="12"/>
                <w:sz w:val="20"/>
                <w:lang w:val="pl-PL"/>
              </w:rPr>
              <w:t>suma liczby chorych aktywnych na KLO, zgłoszonych do kwalifikacji w ROK, czasowo zawieszonych na koniec okresu rozliczeniowego + liczba chorych przeszczepionych w okresie rozliczeniowym podzielona przez średnią liczbę chorych dializowanych w okresie rozliczeniowym wyrażona w procentach</w:t>
            </w:r>
          </w:p>
          <w:p w14:paraId="4D4B8EAC" w14:textId="77777777" w:rsidR="00E54B2D" w:rsidRPr="00E54B2D" w:rsidRDefault="00E54B2D" w:rsidP="00E54B2D">
            <w:pPr>
              <w:widowControl/>
              <w:autoSpaceDE/>
              <w:autoSpaceDN/>
              <w:adjustRightInd/>
              <w:ind w:left="288" w:hanging="288"/>
              <w:rPr>
                <w:rFonts w:eastAsia="Calibri"/>
                <w:kern w:val="12"/>
                <w:sz w:val="20"/>
                <w:lang w:val="pl-PL"/>
              </w:rPr>
            </w:pPr>
            <w:r w:rsidRPr="00E54B2D">
              <w:rPr>
                <w:rFonts w:eastAsia="Calibri"/>
                <w:kern w:val="12"/>
                <w:sz w:val="20"/>
                <w:lang w:val="pl-PL"/>
              </w:rPr>
              <w:t>Dla populacji pacjentów przed dializą:</w:t>
            </w:r>
          </w:p>
          <w:p w14:paraId="66AD435C" w14:textId="77777777" w:rsidR="00E54B2D" w:rsidRPr="00E54B2D" w:rsidRDefault="00E54B2D" w:rsidP="00E54B2D">
            <w:pPr>
              <w:widowControl/>
              <w:numPr>
                <w:ilvl w:val="0"/>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W obszarze wyników leczenia</w:t>
            </w:r>
          </w:p>
          <w:p w14:paraId="1FFE0953"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liczba hospitalizacji/pacjenta/rok (liczba przyjęć w roku)</w:t>
            </w:r>
          </w:p>
          <w:p w14:paraId="6FB87404"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długość hospitalizacji/pacjenta/rok (liczba dni w roku)</w:t>
            </w:r>
          </w:p>
          <w:p w14:paraId="61CB6FD0" w14:textId="1ADC1858" w:rsidR="00E54B2D" w:rsidRPr="00E54B2D" w:rsidRDefault="00415A97" w:rsidP="00415A97">
            <w:pPr>
              <w:widowControl/>
              <w:numPr>
                <w:ilvl w:val="1"/>
                <w:numId w:val="11"/>
              </w:numPr>
              <w:autoSpaceDE/>
              <w:autoSpaceDN/>
              <w:adjustRightInd/>
              <w:spacing w:before="0" w:after="160" w:line="259" w:lineRule="auto"/>
              <w:jc w:val="left"/>
              <w:rPr>
                <w:rFonts w:eastAsia="Calibri"/>
                <w:kern w:val="12"/>
                <w:sz w:val="20"/>
                <w:lang w:val="pl-PL"/>
              </w:rPr>
            </w:pPr>
            <w:r w:rsidRPr="00415A97">
              <w:rPr>
                <w:rFonts w:eastAsia="Calibri"/>
                <w:kern w:val="12"/>
                <w:sz w:val="20"/>
                <w:lang w:val="pl-PL"/>
              </w:rPr>
              <w:t xml:space="preserve">śmiertelność chorych CKD 4 i CKD 5 - śmiertelność względem czasu osiągnięcia stopnia CKD 4 liczona według algorytmu: liczba zgonów chorych CKD4 i CKD5 w miesiącu podzielona przez </w:t>
            </w:r>
            <w:r w:rsidRPr="00415A97">
              <w:rPr>
                <w:rFonts w:eastAsia="Calibri"/>
                <w:kern w:val="12"/>
                <w:sz w:val="20"/>
                <w:lang w:val="pl-PL"/>
              </w:rPr>
              <w:lastRenderedPageBreak/>
              <w:t xml:space="preserve">średnią z liczby chorych na początku i na końcu miesiąca, wyrażona w procentach </w:t>
            </w:r>
            <w:r w:rsidR="00E54B2D" w:rsidRPr="00E54B2D">
              <w:rPr>
                <w:rFonts w:eastAsia="Calibri"/>
                <w:kern w:val="12"/>
                <w:sz w:val="20"/>
                <w:lang w:val="pl-PL"/>
              </w:rPr>
              <w:t>W obszarze parametrów leczenia</w:t>
            </w:r>
          </w:p>
          <w:p w14:paraId="0B0F6ED4" w14:textId="77777777" w:rsidR="00021A86" w:rsidRPr="00021A86" w:rsidRDefault="00021A86" w:rsidP="00021A86">
            <w:pPr>
              <w:pStyle w:val="Akapitzlist"/>
              <w:numPr>
                <w:ilvl w:val="1"/>
                <w:numId w:val="11"/>
              </w:numPr>
              <w:rPr>
                <w:rFonts w:eastAsia="Calibri"/>
                <w:kern w:val="12"/>
                <w:sz w:val="20"/>
                <w:lang w:val="pl-PL"/>
              </w:rPr>
            </w:pPr>
            <w:r w:rsidRPr="00021A86">
              <w:rPr>
                <w:rFonts w:eastAsia="Calibri"/>
                <w:kern w:val="12"/>
                <w:sz w:val="20"/>
                <w:lang w:val="pl-PL"/>
              </w:rPr>
              <w:t>stan nawodnienia oceniany poprzez pomiar ciśnienia tętniczego krwi (parametr określany co 3 miesiące)</w:t>
            </w:r>
          </w:p>
          <w:p w14:paraId="50A73502"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stan odżywienia pacjentów mierzony metodą </w:t>
            </w:r>
            <w:proofErr w:type="spellStart"/>
            <w:r w:rsidRPr="00E54B2D">
              <w:rPr>
                <w:rFonts w:eastAsia="Calibri"/>
                <w:kern w:val="12"/>
                <w:sz w:val="20"/>
                <w:lang w:val="pl-PL"/>
              </w:rPr>
              <w:t>bioimpedancji</w:t>
            </w:r>
            <w:proofErr w:type="spellEnd"/>
            <w:r w:rsidRPr="00E54B2D">
              <w:rPr>
                <w:rFonts w:eastAsia="Calibri"/>
                <w:kern w:val="12"/>
                <w:sz w:val="20"/>
                <w:lang w:val="pl-PL"/>
              </w:rPr>
              <w:t xml:space="preserve"> lub na podstawie stężenia albumin i kreatyniny albo skali SGA (parametr określany co 3 miesiące)</w:t>
            </w:r>
          </w:p>
          <w:p w14:paraId="39A9683E"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 xml:space="preserve">leczenie niedokrwistości - stężenie hemoglobiny </w:t>
            </w:r>
          </w:p>
          <w:p w14:paraId="3310D62F" w14:textId="77777777" w:rsidR="00E54B2D" w:rsidRPr="00E54B2D" w:rsidRDefault="00E54B2D" w:rsidP="00E54B2D">
            <w:pPr>
              <w:widowControl/>
              <w:numPr>
                <w:ilvl w:val="1"/>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leczenie zaburzeń gospodarki wapniowo-fosforanowej</w:t>
            </w:r>
          </w:p>
          <w:p w14:paraId="27F5A3BD" w14:textId="77777777" w:rsidR="00E54B2D" w:rsidRPr="00E54B2D" w:rsidRDefault="00E54B2D" w:rsidP="00E54B2D">
            <w:pPr>
              <w:widowControl/>
              <w:numPr>
                <w:ilvl w:val="2"/>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stężenie parathormonu (PTH) (parametr określany co 6 miesięcy)</w:t>
            </w:r>
          </w:p>
          <w:p w14:paraId="15975B43" w14:textId="77777777" w:rsidR="00E54B2D" w:rsidRPr="00E54B2D" w:rsidRDefault="00E54B2D" w:rsidP="00E54B2D">
            <w:pPr>
              <w:widowControl/>
              <w:numPr>
                <w:ilvl w:val="2"/>
                <w:numId w:val="11"/>
              </w:numPr>
              <w:autoSpaceDE/>
              <w:autoSpaceDN/>
              <w:adjustRightInd/>
              <w:spacing w:before="0" w:after="160" w:line="259" w:lineRule="auto"/>
              <w:jc w:val="left"/>
              <w:rPr>
                <w:rFonts w:eastAsia="Calibri"/>
                <w:kern w:val="12"/>
                <w:sz w:val="20"/>
                <w:lang w:val="pl-PL"/>
              </w:rPr>
            </w:pPr>
            <w:r w:rsidRPr="00E54B2D">
              <w:rPr>
                <w:rFonts w:eastAsia="Calibri"/>
                <w:kern w:val="12"/>
                <w:sz w:val="20"/>
                <w:lang w:val="pl-PL"/>
              </w:rPr>
              <w:t>stężenie fosforanów (parametr określany co 6 tygodni)</w:t>
            </w:r>
          </w:p>
          <w:p w14:paraId="6A94C565" w14:textId="77777777" w:rsidR="00E54B2D" w:rsidRPr="00E54B2D" w:rsidRDefault="00E54B2D" w:rsidP="00E54B2D">
            <w:pPr>
              <w:widowControl/>
              <w:autoSpaceDE/>
              <w:autoSpaceDN/>
              <w:adjustRightInd/>
              <w:spacing w:before="0" w:after="0" w:line="256" w:lineRule="auto"/>
              <w:jc w:val="left"/>
              <w:rPr>
                <w:sz w:val="20"/>
                <w:lang w:val="pl-PL" w:eastAsia="pl-PL"/>
              </w:rPr>
            </w:pPr>
          </w:p>
        </w:tc>
      </w:tr>
      <w:tr w:rsidR="00E54B2D" w:rsidRPr="00C57815" w14:paraId="565394DD" w14:textId="77777777" w:rsidTr="005C0E8A">
        <w:trPr>
          <w:trHeight w:val="4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93B6CC"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3240" w:type="dxa"/>
            <w:vMerge/>
            <w:tcBorders>
              <w:top w:val="single" w:sz="8" w:space="0" w:color="000000"/>
              <w:left w:val="single" w:sz="8" w:space="0" w:color="000000"/>
              <w:bottom w:val="single" w:sz="8" w:space="0" w:color="000000"/>
              <w:right w:val="single" w:sz="8" w:space="0" w:color="000000"/>
            </w:tcBorders>
            <w:vAlign w:val="center"/>
            <w:hideMark/>
          </w:tcPr>
          <w:p w14:paraId="00D87F9D" w14:textId="77777777" w:rsidR="00E54B2D" w:rsidRPr="00E54B2D" w:rsidRDefault="00E54B2D" w:rsidP="00E54B2D">
            <w:pPr>
              <w:widowControl/>
              <w:autoSpaceDE/>
              <w:autoSpaceDN/>
              <w:adjustRightInd/>
              <w:spacing w:before="0" w:after="0" w:line="240" w:lineRule="auto"/>
              <w:jc w:val="left"/>
              <w:rPr>
                <w:sz w:val="20"/>
                <w:lang w:val="pl-PL" w:eastAsia="pl-PL"/>
              </w:rPr>
            </w:pPr>
          </w:p>
        </w:tc>
        <w:tc>
          <w:tcPr>
            <w:tcW w:w="83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1" w:type="dxa"/>
              <w:bottom w:w="0" w:type="dxa"/>
              <w:right w:w="61" w:type="dxa"/>
            </w:tcMar>
            <w:hideMark/>
          </w:tcPr>
          <w:p w14:paraId="0CA452CD"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rFonts w:eastAsia="Calibri"/>
                <w:kern w:val="24"/>
                <w:sz w:val="20"/>
                <w:lang w:val="pl-PL" w:eastAsia="pl-PL"/>
              </w:rPr>
              <w:t>Zakres i forma raportowania oraz sprawozdawania danych przez świadczeniodawców</w:t>
            </w:r>
          </w:p>
          <w:p w14:paraId="17092EC2" w14:textId="77777777" w:rsidR="00E54B2D" w:rsidRPr="00E54B2D" w:rsidRDefault="00E54B2D" w:rsidP="00E54B2D">
            <w:pPr>
              <w:widowControl/>
              <w:autoSpaceDE/>
              <w:autoSpaceDN/>
              <w:adjustRightInd/>
              <w:spacing w:before="0" w:after="0" w:line="256" w:lineRule="auto"/>
              <w:jc w:val="left"/>
              <w:rPr>
                <w:rFonts w:eastAsia="Calibri"/>
                <w:kern w:val="24"/>
                <w:sz w:val="20"/>
                <w:lang w:val="pl-PL" w:eastAsia="pl-PL"/>
              </w:rPr>
            </w:pPr>
            <w:r w:rsidRPr="00E54B2D">
              <w:rPr>
                <w:sz w:val="20"/>
                <w:lang w:val="pl-PL" w:eastAsia="pl-PL"/>
              </w:rPr>
              <w:t>Do zdefiniowania na bazie rejestru chorych planowanego do wdrożenia na podstawie ustawy o jakości w ochronie zdrowia i bezpieczeństwie pacjenta. Projekt ustawy przewiduje tworzenie i prowadzenie rejestrów medycznych oraz utworzenie Agencji do spraw Jakości Opieki Zdrowotnej i Bezpieczeństwa Pacjenta, która ma powstać na bazie Centrum Monitorowania Jakości w Ochronie Zdrowia.</w:t>
            </w:r>
          </w:p>
        </w:tc>
      </w:tr>
    </w:tbl>
    <w:p w14:paraId="5F82D64F" w14:textId="77777777" w:rsidR="00E54B2D" w:rsidRPr="00E54B2D" w:rsidRDefault="00E54B2D" w:rsidP="00E54B2D">
      <w:pPr>
        <w:widowControl/>
        <w:autoSpaceDE/>
        <w:autoSpaceDN/>
        <w:adjustRightInd/>
        <w:spacing w:before="0" w:after="160" w:line="259" w:lineRule="auto"/>
        <w:jc w:val="left"/>
        <w:rPr>
          <w:rFonts w:eastAsia="Calibri"/>
          <w:color w:val="000000"/>
          <w:sz w:val="20"/>
          <w:lang w:val="pl-PL"/>
        </w:rPr>
      </w:pPr>
    </w:p>
    <w:p w14:paraId="39648C23" w14:textId="77777777" w:rsidR="00E54B2D" w:rsidRPr="00E54B2D" w:rsidRDefault="00E54B2D" w:rsidP="00E54B2D">
      <w:pPr>
        <w:widowControl/>
        <w:autoSpaceDE/>
        <w:autoSpaceDN/>
        <w:adjustRightInd/>
        <w:spacing w:before="0" w:after="160" w:line="259" w:lineRule="auto"/>
        <w:jc w:val="left"/>
        <w:rPr>
          <w:rFonts w:eastAsia="Calibri"/>
          <w:color w:val="000000"/>
          <w:sz w:val="20"/>
          <w:lang w:val="pl-PL"/>
        </w:rPr>
      </w:pPr>
      <w:r w:rsidRPr="00E54B2D">
        <w:rPr>
          <w:rFonts w:eastAsia="Calibri"/>
          <w:color w:val="000000"/>
          <w:kern w:val="24"/>
          <w:sz w:val="20"/>
          <w:lang w:val="pl-PL" w:eastAsia="pl-PL"/>
        </w:rPr>
        <w:t>Warunki jakościowe realizacji świadczenia</w:t>
      </w:r>
      <w:r w:rsidRPr="00E54B2D">
        <w:rPr>
          <w:rFonts w:eastAsia="Calibri"/>
          <w:color w:val="000000"/>
          <w:sz w:val="20"/>
          <w:lang w:val="pl-PL"/>
        </w:rPr>
        <w:t>:</w:t>
      </w:r>
    </w:p>
    <w:tbl>
      <w:tblPr>
        <w:tblStyle w:val="CVtable1"/>
        <w:tblW w:w="8931" w:type="dxa"/>
        <w:tblBorders>
          <w:top w:val="none" w:sz="0" w:space="0" w:color="auto"/>
          <w:left w:val="none" w:sz="0" w:space="0" w:color="auto"/>
          <w:bottom w:val="none" w:sz="0" w:space="0" w:color="auto"/>
          <w:right w:val="none" w:sz="0" w:space="0" w:color="auto"/>
          <w:insideH w:val="single" w:sz="4" w:space="0" w:color="808080"/>
          <w:insideV w:val="single" w:sz="4" w:space="0" w:color="808080"/>
        </w:tblBorders>
        <w:tblLook w:val="04A0" w:firstRow="1" w:lastRow="0" w:firstColumn="1" w:lastColumn="0" w:noHBand="0" w:noVBand="1"/>
      </w:tblPr>
      <w:tblGrid>
        <w:gridCol w:w="4536"/>
        <w:gridCol w:w="4395"/>
      </w:tblGrid>
      <w:tr w:rsidR="00E54B2D" w:rsidRPr="00E54B2D" w14:paraId="15FCF464" w14:textId="77777777" w:rsidTr="00E54B2D">
        <w:tc>
          <w:tcPr>
            <w:tcW w:w="4536" w:type="dxa"/>
            <w:tcBorders>
              <w:top w:val="nil"/>
              <w:left w:val="single" w:sz="4" w:space="0" w:color="FFFFFF"/>
              <w:bottom w:val="single" w:sz="4" w:space="0" w:color="808080"/>
            </w:tcBorders>
            <w:shd w:val="clear" w:color="auto" w:fill="808080"/>
            <w:vAlign w:val="center"/>
          </w:tcPr>
          <w:p w14:paraId="6160E2B8" w14:textId="77777777" w:rsidR="00E54B2D" w:rsidRPr="00E54B2D" w:rsidRDefault="00E54B2D" w:rsidP="00E54B2D">
            <w:pPr>
              <w:widowControl/>
              <w:autoSpaceDE/>
              <w:autoSpaceDN/>
              <w:adjustRightInd/>
              <w:spacing w:before="60" w:after="60" w:line="240" w:lineRule="auto"/>
              <w:jc w:val="center"/>
              <w:rPr>
                <w:b/>
                <w:color w:val="FFFFFF"/>
                <w:sz w:val="18"/>
                <w:szCs w:val="18"/>
              </w:rPr>
            </w:pPr>
            <w:r w:rsidRPr="00E54B2D">
              <w:rPr>
                <w:b/>
                <w:color w:val="FFFFFF"/>
                <w:sz w:val="18"/>
                <w:szCs w:val="18"/>
              </w:rPr>
              <w:t>Wskaźniki</w:t>
            </w:r>
          </w:p>
        </w:tc>
        <w:tc>
          <w:tcPr>
            <w:tcW w:w="4395" w:type="dxa"/>
            <w:tcBorders>
              <w:top w:val="nil"/>
              <w:bottom w:val="single" w:sz="4" w:space="0" w:color="808080"/>
              <w:right w:val="single" w:sz="4" w:space="0" w:color="FFFFFF"/>
            </w:tcBorders>
            <w:shd w:val="clear" w:color="auto" w:fill="808080"/>
            <w:vAlign w:val="center"/>
          </w:tcPr>
          <w:p w14:paraId="5CE69C09" w14:textId="77777777" w:rsidR="00E54B2D" w:rsidRPr="00E54B2D" w:rsidRDefault="00E54B2D" w:rsidP="00E54B2D">
            <w:pPr>
              <w:widowControl/>
              <w:autoSpaceDE/>
              <w:autoSpaceDN/>
              <w:adjustRightInd/>
              <w:spacing w:before="60" w:after="60" w:line="240" w:lineRule="auto"/>
              <w:jc w:val="center"/>
              <w:rPr>
                <w:sz w:val="18"/>
                <w:szCs w:val="18"/>
              </w:rPr>
            </w:pPr>
            <w:r w:rsidRPr="00E54B2D">
              <w:rPr>
                <w:b/>
                <w:color w:val="FFFFFF"/>
                <w:sz w:val="18"/>
                <w:szCs w:val="18"/>
              </w:rPr>
              <w:t>Oczekiwany poziom wskaźnika</w:t>
            </w:r>
          </w:p>
        </w:tc>
      </w:tr>
      <w:tr w:rsidR="00E54B2D" w:rsidRPr="00C57815" w14:paraId="2218DECF" w14:textId="77777777" w:rsidTr="00E54B2D">
        <w:tc>
          <w:tcPr>
            <w:tcW w:w="8931" w:type="dxa"/>
            <w:gridSpan w:val="2"/>
            <w:tcBorders>
              <w:top w:val="single" w:sz="4" w:space="0" w:color="808080"/>
              <w:left w:val="single" w:sz="4" w:space="0" w:color="FFFFFF"/>
              <w:bottom w:val="single" w:sz="4" w:space="0" w:color="808080"/>
              <w:right w:val="single" w:sz="4" w:space="0" w:color="FFFFFF"/>
            </w:tcBorders>
            <w:shd w:val="clear" w:color="auto" w:fill="FFE600"/>
            <w:vAlign w:val="center"/>
          </w:tcPr>
          <w:p w14:paraId="2438621E" w14:textId="77777777" w:rsidR="00E54B2D" w:rsidRPr="00E54B2D" w:rsidRDefault="00E54B2D" w:rsidP="00E54B2D">
            <w:pPr>
              <w:widowControl/>
              <w:autoSpaceDE/>
              <w:autoSpaceDN/>
              <w:adjustRightInd/>
              <w:spacing w:before="60" w:after="60" w:line="240" w:lineRule="auto"/>
              <w:jc w:val="left"/>
              <w:rPr>
                <w:b/>
                <w:sz w:val="18"/>
                <w:szCs w:val="18"/>
              </w:rPr>
            </w:pPr>
            <w:r w:rsidRPr="00E54B2D">
              <w:rPr>
                <w:b/>
                <w:sz w:val="18"/>
                <w:szCs w:val="18"/>
              </w:rPr>
              <w:t>Wskaźniki dla populacji pacjentów dializowanych</w:t>
            </w:r>
          </w:p>
        </w:tc>
      </w:tr>
      <w:tr w:rsidR="00E54B2D" w:rsidRPr="00E54B2D" w14:paraId="3D79A55A" w14:textId="77777777" w:rsidTr="00E54B2D">
        <w:trPr>
          <w:trHeight w:val="36"/>
        </w:trPr>
        <w:tc>
          <w:tcPr>
            <w:tcW w:w="8931" w:type="dxa"/>
            <w:gridSpan w:val="2"/>
            <w:tcBorders>
              <w:top w:val="single" w:sz="4" w:space="0" w:color="808080"/>
              <w:left w:val="single" w:sz="4" w:space="0" w:color="FFFFFF"/>
              <w:bottom w:val="single" w:sz="4" w:space="0" w:color="808080"/>
              <w:right w:val="single" w:sz="4" w:space="0" w:color="FFFFFF"/>
            </w:tcBorders>
            <w:shd w:val="clear" w:color="auto" w:fill="E7E6E6"/>
            <w:vAlign w:val="center"/>
          </w:tcPr>
          <w:p w14:paraId="2F2870BC" w14:textId="77777777" w:rsidR="00E54B2D" w:rsidRPr="00E54B2D" w:rsidRDefault="00E54B2D" w:rsidP="00E54B2D">
            <w:pPr>
              <w:widowControl/>
              <w:autoSpaceDE/>
              <w:autoSpaceDN/>
              <w:adjustRightInd/>
              <w:spacing w:beforeLines="20" w:before="48" w:afterLines="25" w:after="60"/>
              <w:jc w:val="left"/>
              <w:rPr>
                <w:b/>
                <w:kern w:val="12"/>
                <w:sz w:val="18"/>
                <w:szCs w:val="18"/>
              </w:rPr>
            </w:pPr>
            <w:r w:rsidRPr="00E54B2D">
              <w:rPr>
                <w:b/>
                <w:kern w:val="12"/>
                <w:sz w:val="18"/>
                <w:szCs w:val="18"/>
              </w:rPr>
              <w:t>Wyniki leczenia</w:t>
            </w:r>
          </w:p>
        </w:tc>
      </w:tr>
      <w:tr w:rsidR="00021A86" w:rsidRPr="00C57815" w14:paraId="7FEBF4EF" w14:textId="77777777" w:rsidTr="00021A86">
        <w:trPr>
          <w:trHeight w:val="145"/>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7EC94B5A" w14:textId="7C4206A6" w:rsidR="00021A86" w:rsidRPr="00E54B2D" w:rsidRDefault="00021A86" w:rsidP="00021A86">
            <w:pPr>
              <w:widowControl/>
              <w:autoSpaceDE/>
              <w:autoSpaceDN/>
              <w:adjustRightInd/>
              <w:spacing w:before="0" w:after="0" w:line="240" w:lineRule="auto"/>
              <w:jc w:val="left"/>
              <w:rPr>
                <w:sz w:val="18"/>
                <w:szCs w:val="18"/>
              </w:rPr>
            </w:pPr>
            <w:r w:rsidRPr="00E54B2D">
              <w:rPr>
                <w:kern w:val="12"/>
                <w:sz w:val="18"/>
                <w:szCs w:val="18"/>
              </w:rPr>
              <w:t>Liczba hospitalizacji/pacjent</w:t>
            </w:r>
            <w:r>
              <w:rPr>
                <w:kern w:val="12"/>
                <w:sz w:val="18"/>
                <w:szCs w:val="18"/>
              </w:rPr>
              <w:t xml:space="preserve">a/rok </w:t>
            </w:r>
          </w:p>
        </w:tc>
        <w:tc>
          <w:tcPr>
            <w:tcW w:w="4395" w:type="dxa"/>
            <w:tcBorders>
              <w:top w:val="single" w:sz="4" w:space="0" w:color="808080"/>
              <w:left w:val="single" w:sz="4" w:space="0" w:color="808080"/>
              <w:right w:val="single" w:sz="4" w:space="0" w:color="FFFFFF"/>
            </w:tcBorders>
            <w:shd w:val="clear" w:color="auto" w:fill="auto"/>
          </w:tcPr>
          <w:p w14:paraId="0B5CBDD9" w14:textId="77777777" w:rsidR="00021A86" w:rsidRPr="00E54B2D" w:rsidRDefault="00021A86" w:rsidP="00021A86">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Do weryfikacji w trakcie pilotażu</w:t>
            </w:r>
          </w:p>
        </w:tc>
      </w:tr>
      <w:tr w:rsidR="00021A86" w:rsidRPr="00C57815" w14:paraId="3C8893E1" w14:textId="77777777" w:rsidTr="00645A46">
        <w:trPr>
          <w:trHeight w:val="145"/>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554232D5" w14:textId="7A9D3688" w:rsidR="00021A86" w:rsidRPr="00E54B2D" w:rsidRDefault="00021A86" w:rsidP="00021A86">
            <w:pPr>
              <w:widowControl/>
              <w:autoSpaceDE/>
              <w:autoSpaceDN/>
              <w:adjustRightInd/>
              <w:spacing w:before="0" w:after="0" w:line="240" w:lineRule="auto"/>
              <w:jc w:val="left"/>
              <w:rPr>
                <w:kern w:val="12"/>
                <w:sz w:val="18"/>
                <w:szCs w:val="18"/>
              </w:rPr>
            </w:pPr>
            <w:r w:rsidRPr="00E54B2D">
              <w:rPr>
                <w:kern w:val="12"/>
                <w:sz w:val="18"/>
                <w:szCs w:val="18"/>
              </w:rPr>
              <w:t>Długość hospitalizacji/pacjen</w:t>
            </w:r>
            <w:r>
              <w:rPr>
                <w:kern w:val="12"/>
                <w:sz w:val="18"/>
                <w:szCs w:val="18"/>
              </w:rPr>
              <w:t>ta/rok</w:t>
            </w:r>
          </w:p>
        </w:tc>
        <w:tc>
          <w:tcPr>
            <w:tcW w:w="4395" w:type="dxa"/>
            <w:tcBorders>
              <w:left w:val="single" w:sz="4" w:space="0" w:color="808080"/>
              <w:right w:val="single" w:sz="4" w:space="0" w:color="FFFFFF"/>
            </w:tcBorders>
            <w:shd w:val="clear" w:color="auto" w:fill="auto"/>
          </w:tcPr>
          <w:p w14:paraId="67A4E8EC" w14:textId="75FEE7EB" w:rsidR="00021A86" w:rsidRPr="00E54B2D" w:rsidRDefault="00021A86" w:rsidP="00021A86">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Do weryfikacji w trakcie pilotażu</w:t>
            </w:r>
          </w:p>
        </w:tc>
      </w:tr>
      <w:tr w:rsidR="00021A86" w:rsidRPr="00C57815" w14:paraId="3074786C" w14:textId="77777777" w:rsidTr="00645A46">
        <w:trPr>
          <w:trHeight w:val="145"/>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5E9DF906" w14:textId="3101E6D1" w:rsidR="00021A86" w:rsidRPr="00E54B2D" w:rsidRDefault="00021A86" w:rsidP="00021A86">
            <w:pPr>
              <w:widowControl/>
              <w:autoSpaceDE/>
              <w:autoSpaceDN/>
              <w:adjustRightInd/>
              <w:spacing w:before="0" w:after="0" w:line="240" w:lineRule="auto"/>
              <w:jc w:val="left"/>
              <w:rPr>
                <w:kern w:val="12"/>
                <w:sz w:val="18"/>
                <w:szCs w:val="18"/>
              </w:rPr>
            </w:pPr>
            <w:r w:rsidRPr="00E54B2D">
              <w:rPr>
                <w:kern w:val="12"/>
                <w:sz w:val="18"/>
                <w:szCs w:val="18"/>
              </w:rPr>
              <w:t>Liczba hospitalizacji/pacjenta/rok z powodu powikłań dostępów</w:t>
            </w:r>
          </w:p>
        </w:tc>
        <w:tc>
          <w:tcPr>
            <w:tcW w:w="4395" w:type="dxa"/>
            <w:tcBorders>
              <w:left w:val="single" w:sz="4" w:space="0" w:color="808080"/>
              <w:right w:val="single" w:sz="4" w:space="0" w:color="FFFFFF"/>
            </w:tcBorders>
            <w:shd w:val="clear" w:color="auto" w:fill="auto"/>
          </w:tcPr>
          <w:p w14:paraId="6D6756A9" w14:textId="4F14287F" w:rsidR="00021A86" w:rsidRPr="00E54B2D" w:rsidRDefault="00021A86" w:rsidP="00021A86">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Do weryfikacji w trakcie pilotażu</w:t>
            </w:r>
          </w:p>
        </w:tc>
      </w:tr>
      <w:tr w:rsidR="003B1337" w:rsidRPr="00C57815" w14:paraId="66056F44" w14:textId="77777777" w:rsidTr="00B8329A">
        <w:trPr>
          <w:trHeight w:val="30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1A20837E" w14:textId="77777777" w:rsidR="003B1337" w:rsidRPr="00E54B2D" w:rsidDel="0006632D" w:rsidRDefault="003B1337" w:rsidP="00E54B2D">
            <w:pPr>
              <w:widowControl/>
              <w:autoSpaceDE/>
              <w:autoSpaceDN/>
              <w:adjustRightInd/>
              <w:spacing w:beforeLines="20" w:before="48" w:afterLines="20" w:after="48"/>
              <w:jc w:val="left"/>
              <w:rPr>
                <w:kern w:val="12"/>
                <w:sz w:val="18"/>
                <w:szCs w:val="18"/>
              </w:rPr>
            </w:pPr>
            <w:r w:rsidRPr="00E54B2D">
              <w:rPr>
                <w:kern w:val="12"/>
                <w:sz w:val="18"/>
                <w:szCs w:val="18"/>
              </w:rPr>
              <w:lastRenderedPageBreak/>
              <w:t>Długość hospitalizacji/pacjenta/rok z powodu powikłań dostępów</w:t>
            </w:r>
          </w:p>
        </w:tc>
        <w:tc>
          <w:tcPr>
            <w:tcW w:w="4395" w:type="dxa"/>
            <w:tcBorders>
              <w:left w:val="single" w:sz="4" w:space="0" w:color="808080"/>
              <w:right w:val="single" w:sz="4" w:space="0" w:color="FFFFFF"/>
            </w:tcBorders>
            <w:shd w:val="clear" w:color="auto" w:fill="auto"/>
          </w:tcPr>
          <w:p w14:paraId="6C612641" w14:textId="77777777" w:rsidR="003B1337" w:rsidRPr="00E54B2D" w:rsidDel="0006632D" w:rsidRDefault="003B1337" w:rsidP="00E54B2D">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Do weryfikacji w trakcie pilotażu</w:t>
            </w:r>
          </w:p>
        </w:tc>
      </w:tr>
      <w:tr w:rsidR="003B1337" w:rsidRPr="00C57815" w14:paraId="2562F775" w14:textId="77777777" w:rsidTr="00E54B2D">
        <w:trPr>
          <w:trHeight w:val="30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5DFB9DCD" w14:textId="7547BCA4" w:rsidR="003B1337" w:rsidRPr="00E54B2D" w:rsidRDefault="003B1337" w:rsidP="003B1337">
            <w:pPr>
              <w:widowControl/>
              <w:autoSpaceDE/>
              <w:autoSpaceDN/>
              <w:adjustRightInd/>
              <w:spacing w:beforeLines="20" w:before="48" w:afterLines="20" w:after="48"/>
              <w:jc w:val="left"/>
              <w:rPr>
                <w:kern w:val="12"/>
                <w:sz w:val="18"/>
                <w:szCs w:val="18"/>
              </w:rPr>
            </w:pPr>
            <w:r>
              <w:rPr>
                <w:kern w:val="12"/>
                <w:sz w:val="18"/>
                <w:szCs w:val="18"/>
              </w:rPr>
              <w:t>L</w:t>
            </w:r>
            <w:r w:rsidRPr="003B1337">
              <w:rPr>
                <w:kern w:val="12"/>
                <w:sz w:val="18"/>
                <w:szCs w:val="18"/>
              </w:rPr>
              <w:t>iczb</w:t>
            </w:r>
            <w:r>
              <w:rPr>
                <w:kern w:val="12"/>
                <w:sz w:val="18"/>
                <w:szCs w:val="18"/>
              </w:rPr>
              <w:t>a</w:t>
            </w:r>
            <w:r w:rsidRPr="003B1337">
              <w:rPr>
                <w:kern w:val="12"/>
                <w:sz w:val="18"/>
                <w:szCs w:val="18"/>
              </w:rPr>
              <w:t xml:space="preserve"> chorych, którzy zakończyli dializoterapię</w:t>
            </w:r>
            <w:r>
              <w:t xml:space="preserve"> </w:t>
            </w:r>
          </w:p>
        </w:tc>
        <w:tc>
          <w:tcPr>
            <w:tcW w:w="4395" w:type="dxa"/>
            <w:tcBorders>
              <w:left w:val="single" w:sz="4" w:space="0" w:color="808080"/>
              <w:bottom w:val="single" w:sz="4" w:space="0" w:color="808080"/>
              <w:right w:val="single" w:sz="4" w:space="0" w:color="FFFFFF"/>
            </w:tcBorders>
            <w:shd w:val="clear" w:color="auto" w:fill="auto"/>
          </w:tcPr>
          <w:p w14:paraId="18E1B17E" w14:textId="0A4DC22C" w:rsidR="003B1337" w:rsidRPr="00E54B2D" w:rsidRDefault="003B1337" w:rsidP="003B1337">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Do weryfikacji w trakcie pilotażu</w:t>
            </w:r>
          </w:p>
        </w:tc>
      </w:tr>
      <w:tr w:rsidR="003B1337" w:rsidRPr="00E54B2D" w14:paraId="26C0B55C" w14:textId="77777777" w:rsidTr="00E54B2D">
        <w:trPr>
          <w:trHeight w:val="6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798A7404" w14:textId="77777777" w:rsidR="003B1337" w:rsidRPr="00E54B2D" w:rsidRDefault="003B1337" w:rsidP="003B1337">
            <w:pPr>
              <w:widowControl/>
              <w:autoSpaceDE/>
              <w:autoSpaceDN/>
              <w:adjustRightInd/>
              <w:spacing w:beforeLines="20" w:before="48" w:afterLines="20" w:after="48"/>
              <w:ind w:left="288" w:hanging="288"/>
              <w:jc w:val="left"/>
              <w:rPr>
                <w:kern w:val="12"/>
                <w:sz w:val="18"/>
                <w:szCs w:val="18"/>
              </w:rPr>
            </w:pPr>
            <w:r w:rsidRPr="00E54B2D">
              <w:rPr>
                <w:kern w:val="12"/>
                <w:sz w:val="18"/>
                <w:szCs w:val="18"/>
              </w:rPr>
              <w:t>Skorygowana śmiertelność</w:t>
            </w:r>
          </w:p>
        </w:tc>
        <w:tc>
          <w:tcPr>
            <w:tcW w:w="4395" w:type="dxa"/>
            <w:tcBorders>
              <w:top w:val="single" w:sz="4" w:space="0" w:color="808080"/>
              <w:left w:val="single" w:sz="4" w:space="0" w:color="808080"/>
              <w:bottom w:val="single" w:sz="4" w:space="0" w:color="808080"/>
              <w:right w:val="single" w:sz="4" w:space="0" w:color="FFFFFF"/>
            </w:tcBorders>
            <w:shd w:val="clear" w:color="auto" w:fill="auto"/>
          </w:tcPr>
          <w:p w14:paraId="4F91C85F" w14:textId="77777777" w:rsidR="003B1337" w:rsidRPr="00E54B2D" w:rsidRDefault="003B1337" w:rsidP="003B1337">
            <w:pPr>
              <w:widowControl/>
              <w:autoSpaceDE/>
              <w:autoSpaceDN/>
              <w:adjustRightInd/>
              <w:spacing w:beforeLines="20" w:before="48" w:afterLines="20" w:after="48"/>
              <w:ind w:left="288"/>
              <w:jc w:val="center"/>
              <w:rPr>
                <w:b/>
                <w:kern w:val="12"/>
                <w:sz w:val="18"/>
                <w:szCs w:val="18"/>
              </w:rPr>
            </w:pPr>
            <w:r w:rsidRPr="00E54B2D">
              <w:rPr>
                <w:kern w:val="12"/>
                <w:sz w:val="18"/>
                <w:szCs w:val="18"/>
              </w:rPr>
              <w:t>&lt;20%</w:t>
            </w:r>
          </w:p>
        </w:tc>
      </w:tr>
      <w:tr w:rsidR="003B1337" w:rsidRPr="00E54B2D" w14:paraId="1D20F7E6" w14:textId="77777777" w:rsidTr="00E54B2D">
        <w:trPr>
          <w:trHeight w:val="6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49FA63E3"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kern w:val="12"/>
                <w:sz w:val="18"/>
                <w:szCs w:val="18"/>
              </w:rPr>
              <w:t>Jakość życia pacjentów dializowanych uwarunkowana stanem zdrowia</w:t>
            </w:r>
          </w:p>
        </w:tc>
        <w:tc>
          <w:tcPr>
            <w:tcW w:w="4395" w:type="dxa"/>
            <w:tcBorders>
              <w:top w:val="single" w:sz="4" w:space="0" w:color="808080"/>
              <w:left w:val="single" w:sz="4" w:space="0" w:color="808080"/>
              <w:bottom w:val="single" w:sz="4" w:space="0" w:color="808080"/>
              <w:right w:val="single" w:sz="4" w:space="0" w:color="FFFFFF"/>
            </w:tcBorders>
            <w:shd w:val="clear" w:color="auto" w:fill="auto"/>
          </w:tcPr>
          <w:p w14:paraId="25D6D0A9" w14:textId="77777777" w:rsidR="003B1337" w:rsidRPr="00E54B2D" w:rsidRDefault="003B1337" w:rsidP="003B1337">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Do weryfikacji w trakcie pilotażu</w:t>
            </w:r>
          </w:p>
          <w:p w14:paraId="3D0FAB07" w14:textId="77777777" w:rsidR="003B1337" w:rsidRPr="00E54B2D" w:rsidRDefault="003B1337" w:rsidP="003B1337">
            <w:pPr>
              <w:widowControl/>
              <w:autoSpaceDE/>
              <w:autoSpaceDN/>
              <w:adjustRightInd/>
              <w:spacing w:beforeLines="20" w:before="48" w:afterLines="20" w:after="48"/>
              <w:jc w:val="center"/>
              <w:rPr>
                <w:color w:val="000000"/>
                <w:kern w:val="12"/>
                <w:sz w:val="18"/>
                <w:szCs w:val="18"/>
              </w:rPr>
            </w:pPr>
          </w:p>
        </w:tc>
      </w:tr>
      <w:tr w:rsidR="003B1337" w:rsidRPr="00E54B2D" w14:paraId="7A56AC7F" w14:textId="77777777" w:rsidTr="00E54B2D">
        <w:trPr>
          <w:trHeight w:val="60"/>
        </w:trPr>
        <w:tc>
          <w:tcPr>
            <w:tcW w:w="8931" w:type="dxa"/>
            <w:gridSpan w:val="2"/>
            <w:tcBorders>
              <w:top w:val="single" w:sz="4" w:space="0" w:color="808080"/>
              <w:left w:val="single" w:sz="4" w:space="0" w:color="FFFFFF"/>
              <w:bottom w:val="single" w:sz="4" w:space="0" w:color="808080"/>
              <w:right w:val="single" w:sz="4" w:space="0" w:color="FFFFFF"/>
            </w:tcBorders>
            <w:shd w:val="clear" w:color="auto" w:fill="E7E6E6"/>
            <w:vAlign w:val="center"/>
          </w:tcPr>
          <w:p w14:paraId="14D2E98E" w14:textId="77777777" w:rsidR="003B1337" w:rsidRPr="00E54B2D" w:rsidRDefault="003B1337" w:rsidP="003B1337">
            <w:pPr>
              <w:widowControl/>
              <w:autoSpaceDE/>
              <w:autoSpaceDN/>
              <w:adjustRightInd/>
              <w:spacing w:beforeLines="20" w:before="48" w:afterLines="25" w:after="60"/>
              <w:jc w:val="left"/>
              <w:rPr>
                <w:b/>
                <w:kern w:val="12"/>
                <w:sz w:val="18"/>
                <w:szCs w:val="18"/>
              </w:rPr>
            </w:pPr>
            <w:r w:rsidRPr="00E54B2D">
              <w:rPr>
                <w:b/>
                <w:kern w:val="12"/>
                <w:sz w:val="18"/>
                <w:szCs w:val="18"/>
              </w:rPr>
              <w:t>Parametry kliniczne</w:t>
            </w:r>
          </w:p>
        </w:tc>
      </w:tr>
      <w:tr w:rsidR="003B1337" w:rsidRPr="00C57815" w14:paraId="3796DD93" w14:textId="77777777" w:rsidTr="00E54B2D">
        <w:trPr>
          <w:trHeight w:val="323"/>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6A248204"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kern w:val="12"/>
                <w:sz w:val="18"/>
                <w:szCs w:val="18"/>
              </w:rPr>
              <w:t xml:space="preserve">HD i DO: wskaźnik </w:t>
            </w:r>
            <w:proofErr w:type="spellStart"/>
            <w:r w:rsidRPr="00E54B2D">
              <w:rPr>
                <w:kern w:val="12"/>
                <w:sz w:val="18"/>
                <w:szCs w:val="18"/>
              </w:rPr>
              <w:t>współchorobowości</w:t>
            </w:r>
            <w:proofErr w:type="spellEnd"/>
            <w:r w:rsidRPr="00E54B2D">
              <w:rPr>
                <w:kern w:val="12"/>
                <w:sz w:val="18"/>
                <w:szCs w:val="18"/>
              </w:rPr>
              <w:t xml:space="preserve"> </w:t>
            </w:r>
            <w:proofErr w:type="spellStart"/>
            <w:r w:rsidRPr="00E54B2D">
              <w:rPr>
                <w:kern w:val="12"/>
                <w:sz w:val="18"/>
                <w:szCs w:val="18"/>
              </w:rPr>
              <w:t>Charlson</w:t>
            </w:r>
            <w:proofErr w:type="spellEnd"/>
            <w:r w:rsidRPr="00E54B2D">
              <w:rPr>
                <w:kern w:val="12"/>
                <w:sz w:val="18"/>
                <w:szCs w:val="18"/>
              </w:rPr>
              <w:t xml:space="preserve"> z uwzględnieniem wieku (</w:t>
            </w:r>
            <w:proofErr w:type="spellStart"/>
            <w:r w:rsidRPr="00E54B2D">
              <w:rPr>
                <w:kern w:val="12"/>
                <w:sz w:val="18"/>
                <w:szCs w:val="18"/>
              </w:rPr>
              <w:t>AaCCIs</w:t>
            </w:r>
            <w:proofErr w:type="spellEnd"/>
            <w:r w:rsidRPr="00E54B2D">
              <w:rPr>
                <w:kern w:val="12"/>
                <w:sz w:val="18"/>
                <w:szCs w:val="18"/>
              </w:rPr>
              <w:t>)</w:t>
            </w:r>
          </w:p>
        </w:tc>
        <w:tc>
          <w:tcPr>
            <w:tcW w:w="4395" w:type="dxa"/>
            <w:tcBorders>
              <w:top w:val="single" w:sz="4" w:space="0" w:color="808080"/>
              <w:left w:val="single" w:sz="4" w:space="0" w:color="808080"/>
              <w:right w:val="single" w:sz="4" w:space="0" w:color="FFFFFF"/>
            </w:tcBorders>
            <w:shd w:val="clear" w:color="auto" w:fill="auto"/>
          </w:tcPr>
          <w:p w14:paraId="159CB34A" w14:textId="77777777" w:rsidR="003B1337" w:rsidRPr="00E54B2D" w:rsidRDefault="003B1337" w:rsidP="003B1337">
            <w:pPr>
              <w:widowControl/>
              <w:autoSpaceDE/>
              <w:autoSpaceDN/>
              <w:adjustRightInd/>
              <w:spacing w:beforeLines="20" w:before="48" w:afterLines="20" w:after="48"/>
              <w:ind w:left="288"/>
              <w:jc w:val="center"/>
              <w:rPr>
                <w:b/>
                <w:kern w:val="12"/>
                <w:sz w:val="18"/>
                <w:szCs w:val="18"/>
              </w:rPr>
            </w:pPr>
            <w:r w:rsidRPr="00E54B2D">
              <w:rPr>
                <w:color w:val="000000"/>
                <w:kern w:val="12"/>
                <w:sz w:val="18"/>
                <w:szCs w:val="18"/>
              </w:rPr>
              <w:t>Do weryfikacji w trakcie pilotażu</w:t>
            </w:r>
          </w:p>
        </w:tc>
      </w:tr>
      <w:tr w:rsidR="003B1337" w:rsidRPr="00E54B2D" w14:paraId="381A4373" w14:textId="77777777" w:rsidTr="00E54B2D">
        <w:trPr>
          <w:trHeight w:val="30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31BF1304" w14:textId="602022F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kern w:val="12"/>
                <w:sz w:val="18"/>
                <w:szCs w:val="18"/>
              </w:rPr>
              <w:t xml:space="preserve">HD: Dostęp naczyniowy – odsetek chorych z przetoką lub </w:t>
            </w:r>
            <w:proofErr w:type="spellStart"/>
            <w:r w:rsidRPr="00E54B2D">
              <w:rPr>
                <w:kern w:val="12"/>
                <w:sz w:val="18"/>
                <w:szCs w:val="18"/>
              </w:rPr>
              <w:t>graftem</w:t>
            </w:r>
            <w:proofErr w:type="spellEnd"/>
            <w:r w:rsidRPr="00E54B2D">
              <w:rPr>
                <w:kern w:val="12"/>
                <w:sz w:val="18"/>
                <w:szCs w:val="18"/>
              </w:rPr>
              <w:t xml:space="preserve"> </w:t>
            </w:r>
            <w:r>
              <w:rPr>
                <w:sz w:val="18"/>
                <w:szCs w:val="18"/>
              </w:rPr>
              <w:t>u chorych dializowanych przynajmniej 3 miesiące</w:t>
            </w:r>
            <w:r w:rsidRPr="00E54B2D">
              <w:rPr>
                <w:kern w:val="12"/>
                <w:sz w:val="18"/>
                <w:szCs w:val="18"/>
              </w:rPr>
              <w:t xml:space="preserve"> </w:t>
            </w:r>
            <w:r>
              <w:rPr>
                <w:kern w:val="12"/>
                <w:sz w:val="18"/>
                <w:szCs w:val="18"/>
              </w:rPr>
              <w:t xml:space="preserve"> </w:t>
            </w:r>
            <w:r w:rsidRPr="00E54B2D">
              <w:rPr>
                <w:kern w:val="12"/>
                <w:sz w:val="18"/>
                <w:szCs w:val="18"/>
              </w:rPr>
              <w:t>(parametr oceniany co miesiąc)</w:t>
            </w:r>
          </w:p>
        </w:tc>
        <w:tc>
          <w:tcPr>
            <w:tcW w:w="4395" w:type="dxa"/>
            <w:tcBorders>
              <w:left w:val="single" w:sz="4" w:space="0" w:color="808080"/>
              <w:right w:val="single" w:sz="4" w:space="0" w:color="FFFFFF"/>
            </w:tcBorders>
            <w:shd w:val="clear" w:color="auto" w:fill="auto"/>
          </w:tcPr>
          <w:p w14:paraId="0A49464A" w14:textId="77777777" w:rsidR="003B1337" w:rsidRPr="00E54B2D" w:rsidRDefault="003B1337" w:rsidP="003B1337">
            <w:pPr>
              <w:widowControl/>
              <w:autoSpaceDE/>
              <w:autoSpaceDN/>
              <w:adjustRightInd/>
              <w:spacing w:beforeLines="20" w:before="48" w:afterLines="20" w:after="48"/>
              <w:jc w:val="center"/>
              <w:rPr>
                <w:kern w:val="12"/>
                <w:sz w:val="18"/>
                <w:szCs w:val="18"/>
              </w:rPr>
            </w:pPr>
            <w:r w:rsidRPr="00E54B2D">
              <w:rPr>
                <w:kern w:val="12"/>
                <w:sz w:val="18"/>
                <w:szCs w:val="18"/>
              </w:rPr>
              <w:t>&gt; 70%</w:t>
            </w:r>
          </w:p>
        </w:tc>
      </w:tr>
      <w:tr w:rsidR="003B1337" w:rsidRPr="00E54B2D" w14:paraId="16AA9369" w14:textId="77777777" w:rsidTr="00E54B2D">
        <w:trPr>
          <w:trHeight w:val="30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629A5FF4" w14:textId="58B8002F" w:rsidR="003B1337" w:rsidRPr="008F4D0C" w:rsidRDefault="003B1337" w:rsidP="003B1337">
            <w:pPr>
              <w:widowControl/>
              <w:autoSpaceDE/>
              <w:autoSpaceDN/>
              <w:adjustRightInd/>
              <w:spacing w:beforeLines="20" w:before="48" w:afterLines="20" w:after="48"/>
              <w:jc w:val="left"/>
              <w:rPr>
                <w:kern w:val="12"/>
                <w:sz w:val="18"/>
                <w:szCs w:val="18"/>
              </w:rPr>
            </w:pPr>
            <w:r w:rsidRPr="008F4D0C">
              <w:rPr>
                <w:kern w:val="12"/>
                <w:sz w:val="18"/>
                <w:szCs w:val="18"/>
              </w:rPr>
              <w:t xml:space="preserve">HD: Dostęp naczyniowy – odsetek chorych </w:t>
            </w:r>
            <w:r w:rsidRPr="008F4D0C">
              <w:rPr>
                <w:kern w:val="12"/>
                <w:sz w:val="18"/>
                <w:szCs w:val="18"/>
              </w:rPr>
              <w:br/>
              <w:t xml:space="preserve">z cewnikiem </w:t>
            </w:r>
            <w:r w:rsidRPr="001A2ED7">
              <w:rPr>
                <w:sz w:val="18"/>
                <w:szCs w:val="18"/>
              </w:rPr>
              <w:t xml:space="preserve">odsetek chorych </w:t>
            </w:r>
            <w:r>
              <w:rPr>
                <w:sz w:val="18"/>
                <w:szCs w:val="18"/>
              </w:rPr>
              <w:br/>
            </w:r>
            <w:r w:rsidRPr="001A2ED7">
              <w:rPr>
                <w:sz w:val="18"/>
                <w:szCs w:val="18"/>
              </w:rPr>
              <w:t xml:space="preserve">z cewnikiem </w:t>
            </w:r>
            <w:r>
              <w:rPr>
                <w:sz w:val="18"/>
                <w:szCs w:val="18"/>
              </w:rPr>
              <w:t>czasowym (ostrym) u chorych dializowanych przynajmniej 3 miesiące</w:t>
            </w:r>
          </w:p>
        </w:tc>
        <w:tc>
          <w:tcPr>
            <w:tcW w:w="4395" w:type="dxa"/>
            <w:tcBorders>
              <w:left w:val="single" w:sz="4" w:space="0" w:color="808080"/>
              <w:bottom w:val="single" w:sz="4" w:space="0" w:color="808080"/>
              <w:right w:val="single" w:sz="4" w:space="0" w:color="FFFFFF"/>
            </w:tcBorders>
            <w:shd w:val="clear" w:color="auto" w:fill="auto"/>
          </w:tcPr>
          <w:p w14:paraId="575FF0ED" w14:textId="5446E5CF" w:rsidR="003B1337" w:rsidRPr="007C01D1" w:rsidRDefault="003B1337" w:rsidP="003B1337">
            <w:pPr>
              <w:widowControl/>
              <w:autoSpaceDE/>
              <w:autoSpaceDN/>
              <w:adjustRightInd/>
              <w:spacing w:beforeLines="20" w:before="48" w:afterLines="20" w:after="48"/>
              <w:jc w:val="center"/>
              <w:rPr>
                <w:kern w:val="12"/>
                <w:sz w:val="18"/>
                <w:szCs w:val="18"/>
              </w:rPr>
            </w:pPr>
            <w:r w:rsidRPr="007C01D1">
              <w:rPr>
                <w:rFonts w:cs="Arial"/>
                <w:sz w:val="18"/>
                <w:szCs w:val="18"/>
                <w:u w:val="single"/>
              </w:rPr>
              <w:t>&lt;</w:t>
            </w:r>
            <w:r w:rsidRPr="007C01D1">
              <w:rPr>
                <w:rFonts w:cs="Arial"/>
                <w:sz w:val="18"/>
                <w:szCs w:val="18"/>
              </w:rPr>
              <w:t xml:space="preserve"> 3%</w:t>
            </w:r>
          </w:p>
        </w:tc>
      </w:tr>
      <w:tr w:rsidR="003B1337" w:rsidRPr="00E54B2D" w14:paraId="33F86017" w14:textId="77777777" w:rsidTr="00E54B2D">
        <w:trPr>
          <w:trHeight w:val="12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28E5D86C"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color w:val="000000"/>
                <w:kern w:val="12"/>
                <w:sz w:val="18"/>
                <w:szCs w:val="18"/>
              </w:rPr>
              <w:t xml:space="preserve">HD: dawka dializy </w:t>
            </w:r>
            <w:proofErr w:type="spellStart"/>
            <w:r w:rsidRPr="00E54B2D">
              <w:rPr>
                <w:color w:val="000000"/>
                <w:kern w:val="12"/>
                <w:sz w:val="18"/>
                <w:szCs w:val="18"/>
              </w:rPr>
              <w:t>spkT</w:t>
            </w:r>
            <w:proofErr w:type="spellEnd"/>
            <w:r w:rsidRPr="00E54B2D">
              <w:rPr>
                <w:color w:val="000000"/>
                <w:kern w:val="12"/>
                <w:sz w:val="18"/>
                <w:szCs w:val="18"/>
              </w:rPr>
              <w:t>/V (parametr określany co miesiąc)</w:t>
            </w:r>
          </w:p>
        </w:tc>
        <w:tc>
          <w:tcPr>
            <w:tcW w:w="4395" w:type="dxa"/>
            <w:tcBorders>
              <w:top w:val="single" w:sz="4" w:space="0" w:color="808080"/>
              <w:left w:val="single" w:sz="4" w:space="0" w:color="808080"/>
              <w:bottom w:val="single" w:sz="4" w:space="0" w:color="808080"/>
              <w:right w:val="single" w:sz="4" w:space="0" w:color="FFFFFF"/>
            </w:tcBorders>
            <w:shd w:val="clear" w:color="auto" w:fill="auto"/>
            <w:vAlign w:val="center"/>
          </w:tcPr>
          <w:p w14:paraId="14AC6055" w14:textId="77777777" w:rsidR="003B1337" w:rsidRPr="00E54B2D" w:rsidRDefault="003B1337" w:rsidP="003B1337">
            <w:pPr>
              <w:widowControl/>
              <w:autoSpaceDE/>
              <w:autoSpaceDN/>
              <w:adjustRightInd/>
              <w:spacing w:beforeLines="20" w:before="48" w:afterLines="20" w:after="48"/>
              <w:jc w:val="center"/>
              <w:rPr>
                <w:b/>
                <w:kern w:val="12"/>
                <w:sz w:val="18"/>
                <w:szCs w:val="18"/>
              </w:rPr>
            </w:pPr>
            <w:r w:rsidRPr="00E54B2D">
              <w:rPr>
                <w:color w:val="000000"/>
                <w:kern w:val="12"/>
                <w:sz w:val="18"/>
                <w:szCs w:val="18"/>
              </w:rPr>
              <w:t>&gt; 1,3</w:t>
            </w:r>
          </w:p>
        </w:tc>
      </w:tr>
      <w:tr w:rsidR="003B1337" w:rsidRPr="00E54B2D" w14:paraId="0C68AFF6" w14:textId="77777777" w:rsidTr="00E54B2D">
        <w:trPr>
          <w:trHeight w:val="12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5A8B2992"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color w:val="000000"/>
                <w:kern w:val="12"/>
                <w:sz w:val="18"/>
                <w:szCs w:val="18"/>
              </w:rPr>
              <w:t xml:space="preserve">DO: dawka dializy tygodniowy </w:t>
            </w:r>
            <w:proofErr w:type="spellStart"/>
            <w:r w:rsidRPr="00E54B2D">
              <w:rPr>
                <w:color w:val="000000"/>
                <w:kern w:val="12"/>
                <w:sz w:val="18"/>
                <w:szCs w:val="18"/>
              </w:rPr>
              <w:t>kT</w:t>
            </w:r>
            <w:proofErr w:type="spellEnd"/>
            <w:r w:rsidRPr="00E54B2D">
              <w:rPr>
                <w:color w:val="000000"/>
                <w:kern w:val="12"/>
                <w:sz w:val="18"/>
                <w:szCs w:val="18"/>
              </w:rPr>
              <w:t>/V (parametr określany co 6 tygodni)</w:t>
            </w:r>
          </w:p>
        </w:tc>
        <w:tc>
          <w:tcPr>
            <w:tcW w:w="4395" w:type="dxa"/>
            <w:tcBorders>
              <w:top w:val="single" w:sz="4" w:space="0" w:color="808080"/>
              <w:left w:val="single" w:sz="4" w:space="0" w:color="808080"/>
              <w:bottom w:val="single" w:sz="4" w:space="0" w:color="808080"/>
              <w:right w:val="single" w:sz="4" w:space="0" w:color="FFFFFF"/>
            </w:tcBorders>
            <w:shd w:val="clear" w:color="auto" w:fill="auto"/>
            <w:vAlign w:val="center"/>
          </w:tcPr>
          <w:p w14:paraId="27C6B05D" w14:textId="77777777" w:rsidR="003B1337" w:rsidRPr="00E54B2D" w:rsidRDefault="003B1337" w:rsidP="003B1337">
            <w:pPr>
              <w:widowControl/>
              <w:autoSpaceDE/>
              <w:autoSpaceDN/>
              <w:adjustRightInd/>
              <w:spacing w:beforeLines="20" w:before="48" w:afterLines="25" w:after="60"/>
              <w:jc w:val="center"/>
              <w:rPr>
                <w:b/>
                <w:kern w:val="12"/>
                <w:sz w:val="18"/>
                <w:szCs w:val="18"/>
              </w:rPr>
            </w:pPr>
            <w:r w:rsidRPr="00E54B2D">
              <w:rPr>
                <w:color w:val="000000"/>
                <w:kern w:val="12"/>
                <w:sz w:val="18"/>
                <w:szCs w:val="18"/>
                <w:u w:val="single"/>
              </w:rPr>
              <w:t>&gt;</w:t>
            </w:r>
            <w:r w:rsidRPr="00E54B2D">
              <w:rPr>
                <w:color w:val="000000"/>
                <w:kern w:val="12"/>
                <w:sz w:val="18"/>
                <w:szCs w:val="18"/>
              </w:rPr>
              <w:t xml:space="preserve"> 1,74</w:t>
            </w:r>
          </w:p>
        </w:tc>
      </w:tr>
      <w:tr w:rsidR="003B1337" w:rsidRPr="00C57815" w14:paraId="2E4EBD1D" w14:textId="77777777" w:rsidTr="00E54B2D">
        <w:trPr>
          <w:trHeight w:val="120"/>
        </w:trPr>
        <w:tc>
          <w:tcPr>
            <w:tcW w:w="4536" w:type="dxa"/>
            <w:tcBorders>
              <w:top w:val="single" w:sz="4" w:space="0" w:color="808080"/>
              <w:left w:val="single" w:sz="4" w:space="0" w:color="FFFFFF"/>
              <w:bottom w:val="single" w:sz="4" w:space="0" w:color="808080"/>
              <w:right w:val="single" w:sz="4" w:space="0" w:color="808080"/>
            </w:tcBorders>
            <w:shd w:val="clear" w:color="auto" w:fill="auto"/>
          </w:tcPr>
          <w:p w14:paraId="2733317B" w14:textId="77777777" w:rsidR="003B1337" w:rsidRPr="00E54B2D" w:rsidRDefault="003B1337" w:rsidP="003B1337">
            <w:pPr>
              <w:widowControl/>
              <w:autoSpaceDE/>
              <w:autoSpaceDN/>
              <w:adjustRightInd/>
              <w:spacing w:beforeLines="20" w:before="48" w:afterLines="20" w:after="48"/>
              <w:jc w:val="left"/>
              <w:rPr>
                <w:color w:val="000000"/>
                <w:kern w:val="12"/>
                <w:sz w:val="18"/>
                <w:szCs w:val="18"/>
              </w:rPr>
            </w:pPr>
            <w:r w:rsidRPr="00E54B2D">
              <w:rPr>
                <w:color w:val="000000"/>
                <w:kern w:val="12"/>
                <w:sz w:val="18"/>
                <w:szCs w:val="18"/>
              </w:rPr>
              <w:t xml:space="preserve">Stan nawodnienia oceniany co 3 miesiące jedną </w:t>
            </w:r>
            <w:r w:rsidRPr="00E54B2D">
              <w:rPr>
                <w:color w:val="000000"/>
                <w:kern w:val="12"/>
                <w:sz w:val="18"/>
                <w:szCs w:val="18"/>
              </w:rPr>
              <w:br/>
              <w:t>z metod wymienionych poniżej:</w:t>
            </w:r>
          </w:p>
          <w:p w14:paraId="71FE0F9A"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r w:rsidRPr="00E54B2D">
              <w:rPr>
                <w:color w:val="000000"/>
                <w:kern w:val="12"/>
                <w:sz w:val="18"/>
                <w:szCs w:val="18"/>
              </w:rPr>
              <w:t xml:space="preserve">metodą </w:t>
            </w:r>
            <w:proofErr w:type="spellStart"/>
            <w:r w:rsidRPr="00E54B2D">
              <w:rPr>
                <w:color w:val="000000"/>
                <w:kern w:val="12"/>
                <w:sz w:val="18"/>
                <w:szCs w:val="18"/>
              </w:rPr>
              <w:t>bioimpedancji</w:t>
            </w:r>
            <w:proofErr w:type="spellEnd"/>
            <w:r w:rsidRPr="00E54B2D">
              <w:rPr>
                <w:color w:val="000000"/>
                <w:kern w:val="12"/>
                <w:sz w:val="18"/>
                <w:szCs w:val="18"/>
              </w:rPr>
              <w:t xml:space="preserve"> (parametr określany co 3 miesiące)</w:t>
            </w:r>
          </w:p>
          <w:p w14:paraId="3AA97192"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p>
          <w:p w14:paraId="1176B3CD"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proofErr w:type="spellStart"/>
            <w:r w:rsidRPr="00E54B2D">
              <w:rPr>
                <w:color w:val="000000"/>
                <w:kern w:val="12"/>
                <w:sz w:val="18"/>
                <w:szCs w:val="18"/>
              </w:rPr>
              <w:t>wspólczynnik</w:t>
            </w:r>
            <w:proofErr w:type="spellEnd"/>
            <w:r w:rsidRPr="00E54B2D">
              <w:rPr>
                <w:color w:val="000000"/>
                <w:kern w:val="12"/>
                <w:sz w:val="18"/>
                <w:szCs w:val="18"/>
              </w:rPr>
              <w:t xml:space="preserve"> </w:t>
            </w:r>
            <w:proofErr w:type="spellStart"/>
            <w:r w:rsidRPr="00E54B2D">
              <w:rPr>
                <w:color w:val="000000"/>
                <w:kern w:val="12"/>
                <w:sz w:val="18"/>
                <w:szCs w:val="18"/>
              </w:rPr>
              <w:t>ultrafitracji</w:t>
            </w:r>
            <w:proofErr w:type="spellEnd"/>
            <w:r w:rsidRPr="00E54B2D">
              <w:rPr>
                <w:color w:val="000000"/>
                <w:kern w:val="12"/>
                <w:sz w:val="18"/>
                <w:szCs w:val="18"/>
              </w:rPr>
              <w:t xml:space="preserve"> na godzinę HD na kg suchej masy ciała</w:t>
            </w:r>
          </w:p>
          <w:p w14:paraId="11DC7713"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p>
          <w:p w14:paraId="51D0BED6"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p>
          <w:p w14:paraId="5035F4A7"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proofErr w:type="spellStart"/>
            <w:r w:rsidRPr="00E54B2D">
              <w:rPr>
                <w:color w:val="000000"/>
                <w:kern w:val="12"/>
                <w:sz w:val="18"/>
                <w:szCs w:val="18"/>
              </w:rPr>
              <w:lastRenderedPageBreak/>
              <w:t>międdzydializacyjny</w:t>
            </w:r>
            <w:proofErr w:type="spellEnd"/>
            <w:r w:rsidRPr="00E54B2D">
              <w:rPr>
                <w:color w:val="000000"/>
                <w:kern w:val="12"/>
                <w:sz w:val="18"/>
                <w:szCs w:val="18"/>
              </w:rPr>
              <w:t xml:space="preserve"> przybór masy ciała (masa przed HD – masa po poprzedniej HD)/sucha masa ciała)</w:t>
            </w:r>
          </w:p>
          <w:p w14:paraId="40F78D80" w14:textId="77777777" w:rsidR="003B1337" w:rsidRPr="00E54B2D" w:rsidRDefault="003B1337" w:rsidP="003B1337">
            <w:pPr>
              <w:widowControl/>
              <w:autoSpaceDE/>
              <w:autoSpaceDN/>
              <w:adjustRightInd/>
              <w:spacing w:beforeLines="20" w:before="48" w:afterLines="20" w:after="48"/>
              <w:ind w:left="426"/>
              <w:jc w:val="left"/>
              <w:rPr>
                <w:color w:val="000000"/>
                <w:kern w:val="12"/>
                <w:sz w:val="18"/>
                <w:szCs w:val="18"/>
              </w:rPr>
            </w:pPr>
          </w:p>
          <w:p w14:paraId="73FC3160" w14:textId="77777777" w:rsidR="003B1337" w:rsidRPr="00E54B2D" w:rsidRDefault="003B1337" w:rsidP="003B1337">
            <w:pPr>
              <w:widowControl/>
              <w:autoSpaceDE/>
              <w:autoSpaceDN/>
              <w:adjustRightInd/>
              <w:spacing w:beforeLines="20" w:before="48" w:afterLines="20" w:after="48"/>
              <w:ind w:left="426"/>
              <w:jc w:val="left"/>
              <w:rPr>
                <w:kern w:val="12"/>
                <w:sz w:val="18"/>
                <w:szCs w:val="18"/>
              </w:rPr>
            </w:pPr>
            <w:r w:rsidRPr="00E54B2D">
              <w:rPr>
                <w:color w:val="000000"/>
                <w:kern w:val="12"/>
                <w:sz w:val="18"/>
                <w:szCs w:val="18"/>
              </w:rPr>
              <w:t>na podstawie parametrów ultrafiltracji i ciśnienia tętniczego krwi</w:t>
            </w:r>
          </w:p>
        </w:tc>
        <w:tc>
          <w:tcPr>
            <w:tcW w:w="4395" w:type="dxa"/>
            <w:tcBorders>
              <w:top w:val="single" w:sz="4" w:space="0" w:color="808080"/>
              <w:left w:val="single" w:sz="4" w:space="0" w:color="808080"/>
              <w:bottom w:val="single" w:sz="4" w:space="0" w:color="808080"/>
              <w:right w:val="single" w:sz="4" w:space="0" w:color="FFFFFF"/>
            </w:tcBorders>
            <w:shd w:val="clear" w:color="auto" w:fill="auto"/>
          </w:tcPr>
          <w:p w14:paraId="2CFF33D3" w14:textId="77777777" w:rsidR="003B1337" w:rsidRPr="00E54B2D" w:rsidRDefault="003B1337" w:rsidP="003B1337">
            <w:pPr>
              <w:widowControl/>
              <w:tabs>
                <w:tab w:val="left" w:pos="288"/>
              </w:tabs>
              <w:autoSpaceDE/>
              <w:autoSpaceDN/>
              <w:adjustRightInd/>
              <w:jc w:val="left"/>
              <w:rPr>
                <w:color w:val="000000"/>
                <w:kern w:val="12"/>
                <w:sz w:val="18"/>
                <w:szCs w:val="18"/>
              </w:rPr>
            </w:pPr>
          </w:p>
          <w:p w14:paraId="5573FA8C" w14:textId="77777777" w:rsidR="003B1337" w:rsidRPr="00E54B2D" w:rsidRDefault="003B1337" w:rsidP="003B1337">
            <w:pPr>
              <w:widowControl/>
              <w:tabs>
                <w:tab w:val="left" w:pos="288"/>
              </w:tabs>
              <w:autoSpaceDE/>
              <w:autoSpaceDN/>
              <w:adjustRightInd/>
              <w:jc w:val="left"/>
              <w:rPr>
                <w:color w:val="000000"/>
                <w:kern w:val="12"/>
                <w:sz w:val="18"/>
                <w:szCs w:val="18"/>
              </w:rPr>
            </w:pPr>
          </w:p>
          <w:p w14:paraId="5D5F9EFB" w14:textId="77777777" w:rsidR="003B1337" w:rsidRPr="00E54B2D" w:rsidRDefault="003B1337" w:rsidP="003B1337">
            <w:pPr>
              <w:widowControl/>
              <w:tabs>
                <w:tab w:val="left" w:pos="288"/>
              </w:tabs>
              <w:autoSpaceDE/>
              <w:autoSpaceDN/>
              <w:adjustRightInd/>
              <w:jc w:val="left"/>
              <w:rPr>
                <w:color w:val="000000"/>
                <w:kern w:val="12"/>
                <w:sz w:val="18"/>
                <w:szCs w:val="18"/>
              </w:rPr>
            </w:pPr>
            <w:r w:rsidRPr="00E54B2D">
              <w:rPr>
                <w:color w:val="000000"/>
                <w:kern w:val="12"/>
                <w:sz w:val="18"/>
                <w:szCs w:val="18"/>
              </w:rPr>
              <w:t xml:space="preserve">względne </w:t>
            </w:r>
            <w:proofErr w:type="spellStart"/>
            <w:r w:rsidRPr="00E54B2D">
              <w:rPr>
                <w:color w:val="000000"/>
                <w:kern w:val="12"/>
                <w:sz w:val="18"/>
                <w:szCs w:val="18"/>
              </w:rPr>
              <w:t>przewodnienie</w:t>
            </w:r>
            <w:proofErr w:type="spellEnd"/>
            <w:r w:rsidRPr="00E54B2D">
              <w:rPr>
                <w:color w:val="000000"/>
                <w:kern w:val="12"/>
                <w:sz w:val="18"/>
                <w:szCs w:val="18"/>
              </w:rPr>
              <w:t xml:space="preserve"> &lt; 20% dla </w:t>
            </w:r>
            <w:proofErr w:type="spellStart"/>
            <w:r w:rsidRPr="00E54B2D">
              <w:rPr>
                <w:color w:val="000000"/>
                <w:kern w:val="12"/>
                <w:sz w:val="18"/>
                <w:szCs w:val="18"/>
              </w:rPr>
              <w:t>bioimpedancji</w:t>
            </w:r>
            <w:proofErr w:type="spellEnd"/>
          </w:p>
          <w:p w14:paraId="3862E005" w14:textId="77777777" w:rsidR="003B1337" w:rsidRPr="00E54B2D" w:rsidRDefault="003B1337" w:rsidP="003B1337">
            <w:pPr>
              <w:widowControl/>
              <w:tabs>
                <w:tab w:val="left" w:pos="288"/>
              </w:tabs>
              <w:autoSpaceDE/>
              <w:autoSpaceDN/>
              <w:adjustRightInd/>
              <w:jc w:val="left"/>
              <w:rPr>
                <w:color w:val="000000"/>
                <w:kern w:val="12"/>
                <w:sz w:val="18"/>
                <w:szCs w:val="18"/>
              </w:rPr>
            </w:pPr>
          </w:p>
          <w:p w14:paraId="4438FBAE" w14:textId="77777777" w:rsidR="003B1337" w:rsidRPr="00E54B2D" w:rsidRDefault="003B1337" w:rsidP="003B1337">
            <w:pPr>
              <w:widowControl/>
              <w:tabs>
                <w:tab w:val="left" w:pos="288"/>
              </w:tabs>
              <w:autoSpaceDE/>
              <w:autoSpaceDN/>
              <w:adjustRightInd/>
              <w:jc w:val="left"/>
              <w:rPr>
                <w:rFonts w:cs="Arial"/>
                <w:sz w:val="18"/>
                <w:szCs w:val="18"/>
              </w:rPr>
            </w:pPr>
            <w:r w:rsidRPr="00E54B2D">
              <w:rPr>
                <w:color w:val="000000"/>
                <w:kern w:val="12"/>
                <w:sz w:val="18"/>
                <w:szCs w:val="18"/>
              </w:rPr>
              <w:t>Odsetek pacjentów w wartością &lt; 10 ml//kg</w:t>
            </w:r>
          </w:p>
          <w:p w14:paraId="591C1036" w14:textId="77777777" w:rsidR="003B1337" w:rsidRPr="00E54B2D" w:rsidRDefault="003B1337" w:rsidP="003B1337">
            <w:pPr>
              <w:widowControl/>
              <w:tabs>
                <w:tab w:val="left" w:pos="288"/>
              </w:tabs>
              <w:autoSpaceDE/>
              <w:autoSpaceDN/>
              <w:adjustRightInd/>
              <w:jc w:val="left"/>
              <w:rPr>
                <w:rFonts w:cs="Arial"/>
                <w:sz w:val="18"/>
                <w:szCs w:val="18"/>
              </w:rPr>
            </w:pPr>
            <w:r w:rsidRPr="00E54B2D">
              <w:rPr>
                <w:color w:val="000000"/>
                <w:kern w:val="12"/>
                <w:sz w:val="18"/>
                <w:szCs w:val="18"/>
              </w:rPr>
              <w:t>Odsetek pacjentów z wartością &lt; 13 ml/h/kg</w:t>
            </w:r>
          </w:p>
          <w:p w14:paraId="24A6C4D4" w14:textId="77777777" w:rsidR="003B1337" w:rsidRPr="00E54B2D" w:rsidRDefault="003B1337" w:rsidP="003B1337">
            <w:pPr>
              <w:widowControl/>
              <w:autoSpaceDE/>
              <w:autoSpaceDN/>
              <w:adjustRightInd/>
              <w:spacing w:beforeLines="20" w:before="48" w:afterLines="20" w:after="48"/>
              <w:ind w:left="-108"/>
              <w:jc w:val="left"/>
              <w:rPr>
                <w:color w:val="000000"/>
                <w:kern w:val="12"/>
                <w:sz w:val="18"/>
                <w:szCs w:val="18"/>
              </w:rPr>
            </w:pPr>
          </w:p>
          <w:p w14:paraId="2CD9D15C" w14:textId="77777777" w:rsidR="003B1337" w:rsidRPr="00E54B2D" w:rsidRDefault="003B1337" w:rsidP="003B1337">
            <w:pPr>
              <w:widowControl/>
              <w:autoSpaceDE/>
              <w:autoSpaceDN/>
              <w:adjustRightInd/>
              <w:spacing w:beforeLines="20" w:before="48" w:afterLines="20" w:after="48"/>
              <w:ind w:left="-108"/>
              <w:jc w:val="left"/>
              <w:rPr>
                <w:color w:val="000000"/>
                <w:kern w:val="12"/>
                <w:sz w:val="18"/>
                <w:szCs w:val="18"/>
              </w:rPr>
            </w:pPr>
            <w:r w:rsidRPr="00E54B2D">
              <w:rPr>
                <w:color w:val="000000"/>
                <w:kern w:val="12"/>
                <w:sz w:val="18"/>
                <w:szCs w:val="18"/>
              </w:rPr>
              <w:lastRenderedPageBreak/>
              <w:t>Odsetek pacjentów z wartością &lt; 5%</w:t>
            </w:r>
          </w:p>
          <w:p w14:paraId="3B416FD1" w14:textId="77777777" w:rsidR="003B1337" w:rsidRPr="00E54B2D" w:rsidRDefault="003B1337" w:rsidP="003B1337">
            <w:pPr>
              <w:widowControl/>
              <w:autoSpaceDE/>
              <w:autoSpaceDN/>
              <w:adjustRightInd/>
              <w:spacing w:beforeLines="20" w:before="48" w:afterLines="20" w:after="48"/>
              <w:jc w:val="left"/>
              <w:rPr>
                <w:color w:val="000000"/>
                <w:kern w:val="12"/>
                <w:sz w:val="18"/>
                <w:szCs w:val="18"/>
              </w:rPr>
            </w:pPr>
          </w:p>
          <w:p w14:paraId="586B8402" w14:textId="77777777" w:rsidR="003B1337" w:rsidRPr="00E54B2D" w:rsidRDefault="003B1337" w:rsidP="003B1337">
            <w:pPr>
              <w:widowControl/>
              <w:autoSpaceDE/>
              <w:autoSpaceDN/>
              <w:adjustRightInd/>
              <w:spacing w:beforeLines="20" w:before="48" w:afterLines="20" w:after="48"/>
              <w:jc w:val="left"/>
              <w:rPr>
                <w:color w:val="000000"/>
                <w:kern w:val="12"/>
                <w:sz w:val="18"/>
                <w:szCs w:val="18"/>
              </w:rPr>
            </w:pPr>
          </w:p>
          <w:p w14:paraId="2FB42DD3" w14:textId="77777777" w:rsidR="003B1337" w:rsidRPr="00E54B2D" w:rsidRDefault="003B1337" w:rsidP="003B1337">
            <w:pPr>
              <w:widowControl/>
              <w:autoSpaceDE/>
              <w:autoSpaceDN/>
              <w:adjustRightInd/>
              <w:spacing w:beforeLines="20" w:before="48" w:afterLines="20" w:after="48"/>
              <w:jc w:val="left"/>
              <w:rPr>
                <w:b/>
                <w:kern w:val="12"/>
                <w:sz w:val="18"/>
                <w:szCs w:val="18"/>
              </w:rPr>
            </w:pPr>
            <w:r w:rsidRPr="00E54B2D">
              <w:rPr>
                <w:color w:val="000000"/>
                <w:kern w:val="12"/>
                <w:sz w:val="18"/>
                <w:szCs w:val="18"/>
              </w:rPr>
              <w:t>Do weryfikacji w trakcie pilotażu</w:t>
            </w:r>
          </w:p>
        </w:tc>
      </w:tr>
      <w:tr w:rsidR="003B1337" w:rsidRPr="00C57815" w14:paraId="63268BE8" w14:textId="77777777" w:rsidTr="00E54B2D">
        <w:trPr>
          <w:trHeight w:val="12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1DB9C3A0"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color w:val="000000"/>
                <w:kern w:val="12"/>
                <w:sz w:val="18"/>
                <w:szCs w:val="18"/>
              </w:rPr>
              <w:lastRenderedPageBreak/>
              <w:t xml:space="preserve">HD i DO: stan odżywienia pacjentów mierzony metodą </w:t>
            </w:r>
            <w:proofErr w:type="spellStart"/>
            <w:r w:rsidRPr="00E54B2D">
              <w:rPr>
                <w:color w:val="000000"/>
                <w:kern w:val="12"/>
                <w:sz w:val="18"/>
                <w:szCs w:val="18"/>
              </w:rPr>
              <w:t>bioimpedancji</w:t>
            </w:r>
            <w:proofErr w:type="spellEnd"/>
            <w:r w:rsidRPr="00E54B2D">
              <w:rPr>
                <w:color w:val="000000"/>
                <w:kern w:val="12"/>
                <w:sz w:val="18"/>
                <w:szCs w:val="18"/>
              </w:rPr>
              <w:t xml:space="preserve"> lub na podstawie stężenia albumin i kreatyniny albo w skali SGA (parametr określany co 3 miesiące)</w:t>
            </w:r>
          </w:p>
        </w:tc>
        <w:tc>
          <w:tcPr>
            <w:tcW w:w="4395" w:type="dxa"/>
            <w:tcBorders>
              <w:top w:val="single" w:sz="4" w:space="0" w:color="808080"/>
              <w:left w:val="single" w:sz="4" w:space="0" w:color="808080"/>
              <w:bottom w:val="single" w:sz="4" w:space="0" w:color="808080"/>
              <w:right w:val="single" w:sz="4" w:space="0" w:color="FFFFFF"/>
            </w:tcBorders>
            <w:shd w:val="clear" w:color="auto" w:fill="auto"/>
            <w:vAlign w:val="center"/>
          </w:tcPr>
          <w:p w14:paraId="7A928C8A" w14:textId="77777777" w:rsidR="003B1337" w:rsidRPr="00E54B2D" w:rsidRDefault="003B1337" w:rsidP="003B1337">
            <w:pPr>
              <w:widowControl/>
              <w:autoSpaceDE/>
              <w:autoSpaceDN/>
              <w:adjustRightInd/>
              <w:spacing w:beforeLines="20" w:before="48" w:afterLines="20" w:after="48"/>
              <w:jc w:val="center"/>
              <w:rPr>
                <w:color w:val="000000"/>
                <w:kern w:val="12"/>
                <w:sz w:val="18"/>
                <w:szCs w:val="18"/>
              </w:rPr>
            </w:pPr>
            <w:r w:rsidRPr="00E54B2D">
              <w:rPr>
                <w:color w:val="000000"/>
                <w:kern w:val="12"/>
                <w:sz w:val="18"/>
                <w:szCs w:val="18"/>
              </w:rPr>
              <w:t> Do weryfikacji w trakcie pilotażu</w:t>
            </w:r>
          </w:p>
        </w:tc>
      </w:tr>
      <w:tr w:rsidR="003B1337" w:rsidRPr="00C57815" w14:paraId="3425B38A" w14:textId="77777777" w:rsidTr="00E54B2D">
        <w:trPr>
          <w:trHeight w:val="20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58D23432"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color w:val="000000"/>
                <w:kern w:val="12"/>
                <w:sz w:val="18"/>
                <w:szCs w:val="18"/>
              </w:rPr>
              <w:t>HD i DO: stężenie hemoglobiny (parametr określany co miesiąc)</w:t>
            </w:r>
          </w:p>
        </w:tc>
        <w:tc>
          <w:tcPr>
            <w:tcW w:w="4395" w:type="dxa"/>
            <w:tcBorders>
              <w:top w:val="single" w:sz="4" w:space="0" w:color="808080"/>
              <w:left w:val="single" w:sz="4" w:space="0" w:color="808080"/>
              <w:right w:val="single" w:sz="4" w:space="0" w:color="FFFFFF"/>
            </w:tcBorders>
            <w:shd w:val="clear" w:color="auto" w:fill="auto"/>
            <w:vAlign w:val="center"/>
          </w:tcPr>
          <w:p w14:paraId="1329581B" w14:textId="718FBF71" w:rsidR="003B1337" w:rsidRPr="00E54B2D" w:rsidRDefault="003B1337" w:rsidP="003B1337">
            <w:pPr>
              <w:widowControl/>
              <w:autoSpaceDE/>
              <w:autoSpaceDN/>
              <w:adjustRightInd/>
              <w:spacing w:beforeLines="20" w:before="48" w:afterLines="20" w:after="48"/>
              <w:ind w:left="288" w:hanging="288"/>
              <w:jc w:val="center"/>
              <w:rPr>
                <w:b/>
                <w:kern w:val="12"/>
                <w:sz w:val="18"/>
                <w:szCs w:val="18"/>
              </w:rPr>
            </w:pPr>
            <w:r w:rsidRPr="00E54B2D">
              <w:rPr>
                <w:color w:val="000000"/>
                <w:kern w:val="12"/>
                <w:sz w:val="18"/>
                <w:szCs w:val="18"/>
              </w:rPr>
              <w:t>10–12 g/dl lub &gt;1</w:t>
            </w:r>
            <w:r>
              <w:rPr>
                <w:color w:val="000000"/>
                <w:kern w:val="12"/>
                <w:sz w:val="18"/>
                <w:szCs w:val="18"/>
              </w:rPr>
              <w:t>2</w:t>
            </w:r>
            <w:r w:rsidRPr="00E54B2D">
              <w:rPr>
                <w:color w:val="000000"/>
                <w:kern w:val="12"/>
                <w:sz w:val="18"/>
                <w:szCs w:val="18"/>
              </w:rPr>
              <w:t xml:space="preserve"> g/dl dla chorych nie leczonych ESA</w:t>
            </w:r>
          </w:p>
        </w:tc>
      </w:tr>
      <w:tr w:rsidR="003B1337" w:rsidRPr="00E54B2D" w14:paraId="20513BA1" w14:textId="77777777" w:rsidTr="00E54B2D">
        <w:trPr>
          <w:trHeight w:val="173"/>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256583A9" w14:textId="77777777" w:rsidR="003B1337" w:rsidRPr="00E54B2D" w:rsidRDefault="003B1337" w:rsidP="003B1337">
            <w:pPr>
              <w:widowControl/>
              <w:autoSpaceDE/>
              <w:autoSpaceDN/>
              <w:adjustRightInd/>
              <w:spacing w:before="0" w:after="0" w:line="240" w:lineRule="auto"/>
              <w:jc w:val="left"/>
              <w:rPr>
                <w:rFonts w:ascii="Calibri" w:hAnsi="Calibri"/>
                <w:kern w:val="12"/>
                <w:sz w:val="18"/>
                <w:szCs w:val="18"/>
              </w:rPr>
            </w:pPr>
            <w:r w:rsidRPr="00E54B2D">
              <w:rPr>
                <w:rFonts w:ascii="Calibri" w:hAnsi="Calibri"/>
                <w:kern w:val="12"/>
                <w:sz w:val="18"/>
                <w:szCs w:val="18"/>
              </w:rPr>
              <w:t xml:space="preserve">HD: gospodarka wapniowo-fosforanowa </w:t>
            </w:r>
          </w:p>
          <w:p w14:paraId="4278ABA8" w14:textId="77777777" w:rsidR="003B1337" w:rsidRPr="00E54B2D" w:rsidRDefault="003B1337" w:rsidP="003B1337">
            <w:pPr>
              <w:widowControl/>
              <w:autoSpaceDE/>
              <w:autoSpaceDN/>
              <w:adjustRightInd/>
              <w:spacing w:before="0" w:after="0" w:line="240" w:lineRule="auto"/>
              <w:jc w:val="left"/>
              <w:rPr>
                <w:rFonts w:ascii="Calibri" w:hAnsi="Calibri"/>
                <w:kern w:val="12"/>
                <w:sz w:val="18"/>
                <w:szCs w:val="18"/>
              </w:rPr>
            </w:pPr>
            <w:r w:rsidRPr="00E54B2D">
              <w:rPr>
                <w:rFonts w:ascii="Calibri" w:hAnsi="Calibri"/>
                <w:kern w:val="12"/>
                <w:sz w:val="18"/>
                <w:szCs w:val="18"/>
              </w:rPr>
              <w:t>stężenie parathormonu (PTH) (parametr określany co 6 miesięcy)</w:t>
            </w:r>
          </w:p>
          <w:p w14:paraId="2A5E2DE4" w14:textId="77777777" w:rsidR="003B1337" w:rsidRPr="00E54B2D" w:rsidRDefault="003B1337" w:rsidP="003B1337">
            <w:pPr>
              <w:widowControl/>
              <w:autoSpaceDE/>
              <w:autoSpaceDN/>
              <w:adjustRightInd/>
              <w:spacing w:beforeLines="20" w:before="48" w:afterLines="20" w:after="48"/>
              <w:jc w:val="left"/>
              <w:rPr>
                <w:color w:val="000000"/>
                <w:kern w:val="12"/>
                <w:sz w:val="18"/>
                <w:szCs w:val="18"/>
              </w:rPr>
            </w:pPr>
            <w:r w:rsidRPr="00E54B2D">
              <w:rPr>
                <w:kern w:val="12"/>
                <w:sz w:val="18"/>
                <w:szCs w:val="18"/>
              </w:rPr>
              <w:t>Stężenie fosforanów (parametr określany co miesiąc)</w:t>
            </w:r>
          </w:p>
        </w:tc>
        <w:tc>
          <w:tcPr>
            <w:tcW w:w="4395" w:type="dxa"/>
            <w:tcBorders>
              <w:left w:val="single" w:sz="4" w:space="0" w:color="808080"/>
              <w:right w:val="single" w:sz="4" w:space="0" w:color="FFFFFF"/>
            </w:tcBorders>
            <w:shd w:val="clear" w:color="auto" w:fill="auto"/>
          </w:tcPr>
          <w:p w14:paraId="7A133FD8" w14:textId="77777777" w:rsidR="003B1337" w:rsidRPr="00E54B2D" w:rsidRDefault="003B1337" w:rsidP="003B1337">
            <w:pPr>
              <w:widowControl/>
              <w:autoSpaceDE/>
              <w:autoSpaceDN/>
              <w:adjustRightInd/>
              <w:spacing w:beforeLines="20" w:before="48" w:afterLines="20" w:after="48"/>
              <w:ind w:left="29"/>
              <w:jc w:val="center"/>
              <w:rPr>
                <w:color w:val="000000"/>
                <w:kern w:val="12"/>
                <w:sz w:val="18"/>
                <w:szCs w:val="18"/>
              </w:rPr>
            </w:pPr>
          </w:p>
          <w:p w14:paraId="4F852E44" w14:textId="77777777" w:rsidR="003B1337" w:rsidRPr="00E54B2D" w:rsidRDefault="003B1337" w:rsidP="003B1337">
            <w:pPr>
              <w:widowControl/>
              <w:autoSpaceDE/>
              <w:autoSpaceDN/>
              <w:adjustRightInd/>
              <w:spacing w:beforeLines="20" w:before="48" w:afterLines="20" w:after="48"/>
              <w:ind w:left="29"/>
              <w:jc w:val="center"/>
              <w:rPr>
                <w:color w:val="000000"/>
                <w:kern w:val="12"/>
                <w:sz w:val="18"/>
                <w:szCs w:val="18"/>
              </w:rPr>
            </w:pPr>
            <w:r w:rsidRPr="00E54B2D">
              <w:rPr>
                <w:color w:val="000000"/>
                <w:kern w:val="12"/>
                <w:sz w:val="18"/>
                <w:szCs w:val="18"/>
              </w:rPr>
              <w:t xml:space="preserve">100–500 </w:t>
            </w:r>
            <w:proofErr w:type="spellStart"/>
            <w:r w:rsidRPr="00E54B2D">
              <w:rPr>
                <w:color w:val="000000"/>
                <w:kern w:val="12"/>
                <w:sz w:val="18"/>
                <w:szCs w:val="18"/>
              </w:rPr>
              <w:t>pg</w:t>
            </w:r>
            <w:proofErr w:type="spellEnd"/>
            <w:r w:rsidRPr="00E54B2D">
              <w:rPr>
                <w:color w:val="000000"/>
                <w:kern w:val="12"/>
                <w:sz w:val="18"/>
                <w:szCs w:val="18"/>
              </w:rPr>
              <w:t>/ml</w:t>
            </w:r>
          </w:p>
          <w:p w14:paraId="434CB6A7"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p>
          <w:p w14:paraId="7107F73C"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r w:rsidRPr="00E54B2D">
              <w:rPr>
                <w:color w:val="000000"/>
                <w:kern w:val="12"/>
                <w:sz w:val="18"/>
                <w:szCs w:val="18"/>
              </w:rPr>
              <w:t>2,5 – 5,5 mg/dl</w:t>
            </w:r>
          </w:p>
          <w:p w14:paraId="59A4BF71"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p>
        </w:tc>
      </w:tr>
      <w:tr w:rsidR="003B1337" w:rsidRPr="00E54B2D" w14:paraId="2C42826C" w14:textId="77777777" w:rsidTr="00E54B2D">
        <w:trPr>
          <w:trHeight w:val="765"/>
        </w:trPr>
        <w:tc>
          <w:tcPr>
            <w:tcW w:w="4536" w:type="dxa"/>
            <w:tcBorders>
              <w:top w:val="single" w:sz="4" w:space="0" w:color="808080"/>
              <w:left w:val="single" w:sz="4" w:space="0" w:color="FFFFFF"/>
              <w:bottom w:val="single" w:sz="4" w:space="0" w:color="808080"/>
              <w:right w:val="single" w:sz="4" w:space="0" w:color="808080"/>
            </w:tcBorders>
            <w:shd w:val="clear" w:color="auto" w:fill="auto"/>
          </w:tcPr>
          <w:p w14:paraId="67694057" w14:textId="77777777" w:rsidR="003B1337" w:rsidRPr="00E54B2D" w:rsidRDefault="003B1337" w:rsidP="003B1337">
            <w:pPr>
              <w:widowControl/>
              <w:autoSpaceDE/>
              <w:autoSpaceDN/>
              <w:adjustRightInd/>
              <w:spacing w:beforeLines="20" w:before="48" w:afterLines="20" w:after="48"/>
              <w:ind w:left="288" w:hanging="288"/>
              <w:jc w:val="left"/>
              <w:rPr>
                <w:kern w:val="12"/>
                <w:sz w:val="18"/>
                <w:szCs w:val="18"/>
              </w:rPr>
            </w:pPr>
            <w:r w:rsidRPr="00E54B2D">
              <w:rPr>
                <w:kern w:val="12"/>
                <w:sz w:val="18"/>
                <w:szCs w:val="18"/>
              </w:rPr>
              <w:t xml:space="preserve">DO: gospodarka wapniowo-fosforanowa </w:t>
            </w:r>
          </w:p>
          <w:p w14:paraId="4BD633EE" w14:textId="77777777" w:rsidR="003B1337" w:rsidRPr="00E54B2D" w:rsidRDefault="003B1337" w:rsidP="003B1337">
            <w:pPr>
              <w:widowControl/>
              <w:autoSpaceDE/>
              <w:autoSpaceDN/>
              <w:adjustRightInd/>
              <w:spacing w:beforeLines="20" w:before="48" w:afterLines="20" w:after="48"/>
              <w:jc w:val="left"/>
              <w:rPr>
                <w:sz w:val="18"/>
                <w:szCs w:val="18"/>
              </w:rPr>
            </w:pPr>
            <w:r w:rsidRPr="00E54B2D">
              <w:rPr>
                <w:sz w:val="18"/>
                <w:szCs w:val="18"/>
              </w:rPr>
              <w:t>stężenie parathormonu (PTH) (parametr określany co 6 miesięcy)</w:t>
            </w:r>
          </w:p>
          <w:p w14:paraId="739301A2" w14:textId="77777777" w:rsidR="003B1337" w:rsidRPr="00E54B2D" w:rsidRDefault="003B1337" w:rsidP="003B1337">
            <w:pPr>
              <w:widowControl/>
              <w:autoSpaceDE/>
              <w:autoSpaceDN/>
              <w:adjustRightInd/>
              <w:spacing w:beforeLines="20" w:before="48" w:afterLines="20" w:after="48"/>
              <w:jc w:val="left"/>
              <w:rPr>
                <w:color w:val="000000"/>
                <w:kern w:val="12"/>
                <w:sz w:val="18"/>
                <w:szCs w:val="18"/>
              </w:rPr>
            </w:pPr>
            <w:r w:rsidRPr="00E54B2D">
              <w:rPr>
                <w:kern w:val="12"/>
                <w:sz w:val="18"/>
                <w:szCs w:val="18"/>
              </w:rPr>
              <w:t>Stężenie fosforanów (parametr określany co 6 tygodni)</w:t>
            </w:r>
          </w:p>
        </w:tc>
        <w:tc>
          <w:tcPr>
            <w:tcW w:w="4395" w:type="dxa"/>
            <w:tcBorders>
              <w:left w:val="single" w:sz="4" w:space="0" w:color="808080"/>
              <w:right w:val="single" w:sz="4" w:space="0" w:color="FFFFFF"/>
            </w:tcBorders>
            <w:shd w:val="clear" w:color="auto" w:fill="auto"/>
          </w:tcPr>
          <w:p w14:paraId="69B28B53"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p>
          <w:p w14:paraId="0197E984"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r w:rsidRPr="00E54B2D">
              <w:rPr>
                <w:color w:val="000000"/>
                <w:kern w:val="12"/>
                <w:sz w:val="18"/>
                <w:szCs w:val="18"/>
              </w:rPr>
              <w:t xml:space="preserve">100–500 </w:t>
            </w:r>
            <w:proofErr w:type="spellStart"/>
            <w:r w:rsidRPr="00E54B2D">
              <w:rPr>
                <w:color w:val="000000"/>
                <w:kern w:val="12"/>
                <w:sz w:val="18"/>
                <w:szCs w:val="18"/>
              </w:rPr>
              <w:t>pg</w:t>
            </w:r>
            <w:proofErr w:type="spellEnd"/>
            <w:r w:rsidRPr="00E54B2D">
              <w:rPr>
                <w:color w:val="000000"/>
                <w:kern w:val="12"/>
                <w:sz w:val="18"/>
                <w:szCs w:val="18"/>
              </w:rPr>
              <w:t>/ml</w:t>
            </w:r>
          </w:p>
          <w:p w14:paraId="3BE611D2"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p>
          <w:p w14:paraId="044666DB"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r w:rsidRPr="00E54B2D">
              <w:rPr>
                <w:color w:val="000000"/>
                <w:kern w:val="12"/>
                <w:sz w:val="18"/>
                <w:szCs w:val="18"/>
              </w:rPr>
              <w:t>2,5 – 5,5 mg/dl</w:t>
            </w:r>
          </w:p>
          <w:p w14:paraId="1BE49C07"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p>
        </w:tc>
      </w:tr>
      <w:tr w:rsidR="003B1337" w:rsidRPr="00C57815" w14:paraId="361DEC53" w14:textId="77777777" w:rsidTr="00E54B2D">
        <w:trPr>
          <w:trHeight w:val="765"/>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0E9246D3" w14:textId="77777777" w:rsidR="003B1337" w:rsidRPr="00E54B2D" w:rsidRDefault="003B1337" w:rsidP="003B1337">
            <w:pPr>
              <w:widowControl/>
              <w:autoSpaceDE/>
              <w:autoSpaceDN/>
              <w:adjustRightInd/>
              <w:spacing w:beforeLines="20" w:before="48" w:afterLines="20" w:after="48"/>
              <w:jc w:val="left"/>
              <w:rPr>
                <w:kern w:val="12"/>
                <w:sz w:val="18"/>
                <w:szCs w:val="18"/>
              </w:rPr>
            </w:pPr>
            <w:r w:rsidRPr="00E54B2D">
              <w:rPr>
                <w:kern w:val="12"/>
                <w:sz w:val="18"/>
                <w:szCs w:val="18"/>
              </w:rPr>
              <w:t>Powikłania infekcyjne w postaci zapalenia otrzewnej (DZO) w dializie otrzewnowej</w:t>
            </w:r>
          </w:p>
        </w:tc>
        <w:tc>
          <w:tcPr>
            <w:tcW w:w="4395" w:type="dxa"/>
            <w:tcBorders>
              <w:left w:val="single" w:sz="4" w:space="0" w:color="808080"/>
              <w:right w:val="single" w:sz="4" w:space="0" w:color="FFFFFF"/>
            </w:tcBorders>
            <w:shd w:val="clear" w:color="auto" w:fill="auto"/>
          </w:tcPr>
          <w:p w14:paraId="1CB3BB1C"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r w:rsidRPr="00E54B2D">
              <w:rPr>
                <w:kern w:val="12"/>
                <w:sz w:val="18"/>
                <w:szCs w:val="18"/>
              </w:rPr>
              <w:t>0,6 incydentu na pacjenta w roku</w:t>
            </w:r>
          </w:p>
        </w:tc>
      </w:tr>
      <w:tr w:rsidR="003B1337" w:rsidRPr="00E54B2D" w14:paraId="5E03C6A8" w14:textId="77777777" w:rsidTr="00E54B2D">
        <w:trPr>
          <w:trHeight w:val="510"/>
        </w:trPr>
        <w:tc>
          <w:tcPr>
            <w:tcW w:w="8931" w:type="dxa"/>
            <w:gridSpan w:val="2"/>
            <w:tcBorders>
              <w:top w:val="single" w:sz="4" w:space="0" w:color="808080"/>
              <w:left w:val="single" w:sz="4" w:space="0" w:color="FFFFFF"/>
              <w:bottom w:val="single" w:sz="4" w:space="0" w:color="808080"/>
              <w:right w:val="single" w:sz="4" w:space="0" w:color="FFFFFF"/>
            </w:tcBorders>
            <w:shd w:val="clear" w:color="auto" w:fill="E7E6E6"/>
          </w:tcPr>
          <w:p w14:paraId="35000D1C" w14:textId="77777777" w:rsidR="003B1337" w:rsidRPr="00E54B2D" w:rsidRDefault="003B1337" w:rsidP="003B1337">
            <w:pPr>
              <w:widowControl/>
              <w:tabs>
                <w:tab w:val="left" w:pos="3825"/>
              </w:tabs>
              <w:autoSpaceDE/>
              <w:autoSpaceDN/>
              <w:adjustRightInd/>
              <w:spacing w:beforeLines="20" w:before="48" w:afterLines="25" w:after="60"/>
              <w:jc w:val="left"/>
              <w:rPr>
                <w:b/>
                <w:kern w:val="12"/>
                <w:sz w:val="18"/>
                <w:szCs w:val="18"/>
              </w:rPr>
            </w:pPr>
            <w:r w:rsidRPr="00E54B2D">
              <w:rPr>
                <w:b/>
                <w:kern w:val="12"/>
                <w:sz w:val="18"/>
                <w:szCs w:val="18"/>
              </w:rPr>
              <w:t>Transplantologia</w:t>
            </w:r>
            <w:r w:rsidRPr="00E54B2D">
              <w:rPr>
                <w:b/>
                <w:kern w:val="12"/>
                <w:sz w:val="18"/>
                <w:szCs w:val="18"/>
              </w:rPr>
              <w:tab/>
            </w:r>
          </w:p>
        </w:tc>
      </w:tr>
      <w:tr w:rsidR="003B1337" w:rsidRPr="00E54B2D" w14:paraId="6C32511E" w14:textId="77777777" w:rsidTr="00E54B2D">
        <w:trPr>
          <w:trHeight w:val="51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51E912EA" w14:textId="5BD15E78" w:rsidR="003B1337" w:rsidRPr="00E54B2D" w:rsidRDefault="003B1337" w:rsidP="003B1337">
            <w:pPr>
              <w:widowControl/>
              <w:autoSpaceDE/>
              <w:autoSpaceDN/>
              <w:adjustRightInd/>
              <w:spacing w:beforeLines="20" w:before="48" w:afterLines="20" w:after="48"/>
              <w:jc w:val="left"/>
              <w:rPr>
                <w:kern w:val="12"/>
                <w:sz w:val="18"/>
                <w:szCs w:val="18"/>
              </w:rPr>
            </w:pPr>
            <w:r w:rsidRPr="0056444F">
              <w:rPr>
                <w:kern w:val="12"/>
                <w:sz w:val="18"/>
                <w:szCs w:val="18"/>
              </w:rPr>
              <w:t xml:space="preserve">Odsetek pacjentów zgłoszonych do przeszczepienia nerki </w:t>
            </w:r>
          </w:p>
        </w:tc>
        <w:tc>
          <w:tcPr>
            <w:tcW w:w="4395" w:type="dxa"/>
            <w:tcBorders>
              <w:left w:val="single" w:sz="4" w:space="0" w:color="808080"/>
              <w:bottom w:val="single" w:sz="4" w:space="0" w:color="808080"/>
              <w:right w:val="single" w:sz="4" w:space="0" w:color="FFFFFF"/>
            </w:tcBorders>
            <w:shd w:val="clear" w:color="auto" w:fill="auto"/>
          </w:tcPr>
          <w:p w14:paraId="75878CD2" w14:textId="77777777" w:rsidR="003B1337" w:rsidRPr="00E54B2D" w:rsidRDefault="003B1337" w:rsidP="003B1337">
            <w:pPr>
              <w:widowControl/>
              <w:autoSpaceDE/>
              <w:autoSpaceDN/>
              <w:adjustRightInd/>
              <w:spacing w:beforeLines="20" w:before="48" w:afterLines="20" w:after="48"/>
              <w:ind w:left="288" w:hanging="288"/>
              <w:jc w:val="center"/>
              <w:rPr>
                <w:color w:val="000000"/>
                <w:kern w:val="12"/>
                <w:sz w:val="18"/>
                <w:szCs w:val="18"/>
              </w:rPr>
            </w:pPr>
            <w:r w:rsidRPr="00E54B2D">
              <w:rPr>
                <w:kern w:val="12"/>
                <w:sz w:val="18"/>
                <w:szCs w:val="18"/>
              </w:rPr>
              <w:t>7%</w:t>
            </w:r>
          </w:p>
        </w:tc>
      </w:tr>
    </w:tbl>
    <w:tbl>
      <w:tblPr>
        <w:tblStyle w:val="CVtable11"/>
        <w:tblW w:w="8931" w:type="dxa"/>
        <w:tblBorders>
          <w:insideH w:val="single" w:sz="4" w:space="0" w:color="808080"/>
          <w:insideV w:val="single" w:sz="4" w:space="0" w:color="808080"/>
        </w:tblBorders>
        <w:tblLook w:val="04A0" w:firstRow="1" w:lastRow="0" w:firstColumn="1" w:lastColumn="0" w:noHBand="0" w:noVBand="1"/>
      </w:tblPr>
      <w:tblGrid>
        <w:gridCol w:w="4536"/>
        <w:gridCol w:w="4395"/>
      </w:tblGrid>
      <w:tr w:rsidR="0070387C" w:rsidRPr="00C57815" w14:paraId="0F610C8B" w14:textId="77777777" w:rsidTr="00E54B2D">
        <w:trPr>
          <w:trHeight w:val="36"/>
        </w:trPr>
        <w:tc>
          <w:tcPr>
            <w:tcW w:w="8931" w:type="dxa"/>
            <w:gridSpan w:val="2"/>
            <w:tcBorders>
              <w:left w:val="single" w:sz="4" w:space="0" w:color="FFFFFF"/>
              <w:right w:val="single" w:sz="4" w:space="0" w:color="FFFFFF"/>
            </w:tcBorders>
            <w:shd w:val="clear" w:color="auto" w:fill="FFE600"/>
            <w:vAlign w:val="center"/>
          </w:tcPr>
          <w:p w14:paraId="615EDD6A" w14:textId="77777777" w:rsidR="00E54B2D" w:rsidRPr="00E54B2D" w:rsidRDefault="00E54B2D" w:rsidP="00E54B2D">
            <w:pPr>
              <w:widowControl/>
              <w:autoSpaceDE/>
              <w:autoSpaceDN/>
              <w:adjustRightInd/>
              <w:spacing w:before="60" w:after="60" w:line="240" w:lineRule="auto"/>
              <w:jc w:val="left"/>
              <w:rPr>
                <w:b/>
                <w:sz w:val="18"/>
                <w:szCs w:val="18"/>
                <w:lang w:val="pl-PL"/>
              </w:rPr>
            </w:pPr>
            <w:r w:rsidRPr="00E54B2D">
              <w:rPr>
                <w:rFonts w:eastAsia="Calibri"/>
                <w:b/>
                <w:sz w:val="18"/>
                <w:szCs w:val="18"/>
                <w:lang w:val="pl-PL"/>
              </w:rPr>
              <w:t>Wskaźniki dla populacji pacjentów przed dializą</w:t>
            </w:r>
          </w:p>
        </w:tc>
      </w:tr>
      <w:tr w:rsidR="0070387C" w:rsidRPr="00E54B2D" w14:paraId="1EC32A42" w14:textId="77777777" w:rsidTr="00E54B2D">
        <w:trPr>
          <w:trHeight w:val="36"/>
        </w:trPr>
        <w:tc>
          <w:tcPr>
            <w:tcW w:w="8931" w:type="dxa"/>
            <w:gridSpan w:val="2"/>
            <w:tcBorders>
              <w:left w:val="single" w:sz="4" w:space="0" w:color="FFFFFF"/>
              <w:right w:val="single" w:sz="4" w:space="0" w:color="FFFFFF"/>
            </w:tcBorders>
            <w:shd w:val="clear" w:color="auto" w:fill="F2F2F2"/>
            <w:vAlign w:val="center"/>
          </w:tcPr>
          <w:p w14:paraId="192AEC97" w14:textId="77777777" w:rsidR="00E54B2D" w:rsidRPr="00E54B2D" w:rsidRDefault="00E54B2D" w:rsidP="00E54B2D">
            <w:pPr>
              <w:widowControl/>
              <w:autoSpaceDE/>
              <w:autoSpaceDN/>
              <w:adjustRightInd/>
              <w:spacing w:beforeLines="20" w:before="48" w:afterLines="25" w:after="60"/>
              <w:jc w:val="left"/>
              <w:rPr>
                <w:b/>
                <w:sz w:val="18"/>
                <w:szCs w:val="18"/>
                <w:lang w:val="pl-PL"/>
              </w:rPr>
            </w:pPr>
            <w:r w:rsidRPr="00E54B2D">
              <w:rPr>
                <w:b/>
                <w:sz w:val="18"/>
                <w:szCs w:val="18"/>
                <w:lang w:val="pl-PL"/>
              </w:rPr>
              <w:lastRenderedPageBreak/>
              <w:t>Wyniki leczenia</w:t>
            </w:r>
          </w:p>
        </w:tc>
      </w:tr>
      <w:tr w:rsidR="00E54B2D" w:rsidRPr="00C57815" w14:paraId="3BF25B6B" w14:textId="77777777" w:rsidTr="00E54B2D">
        <w:trPr>
          <w:trHeight w:val="150"/>
        </w:trPr>
        <w:tc>
          <w:tcPr>
            <w:tcW w:w="4536" w:type="dxa"/>
            <w:tcBorders>
              <w:left w:val="single" w:sz="4" w:space="0" w:color="FFFFFF"/>
            </w:tcBorders>
            <w:shd w:val="clear" w:color="auto" w:fill="auto"/>
            <w:vAlign w:val="center"/>
          </w:tcPr>
          <w:p w14:paraId="4038F1CE" w14:textId="77777777" w:rsidR="00E54B2D" w:rsidRPr="00E54B2D" w:rsidRDefault="00E54B2D" w:rsidP="00E54B2D">
            <w:pPr>
              <w:widowControl/>
              <w:autoSpaceDE/>
              <w:autoSpaceDN/>
              <w:adjustRightInd/>
              <w:spacing w:beforeLines="20" w:before="48" w:afterLines="20" w:after="48"/>
              <w:jc w:val="left"/>
              <w:rPr>
                <w:sz w:val="18"/>
                <w:szCs w:val="18"/>
                <w:lang w:val="pl-PL"/>
              </w:rPr>
            </w:pPr>
            <w:r w:rsidRPr="00E54B2D">
              <w:rPr>
                <w:sz w:val="18"/>
                <w:szCs w:val="18"/>
                <w:lang w:val="pl-PL"/>
              </w:rPr>
              <w:t xml:space="preserve">Liczba </w:t>
            </w:r>
            <w:proofErr w:type="spellStart"/>
            <w:r w:rsidRPr="00E54B2D">
              <w:rPr>
                <w:sz w:val="18"/>
                <w:szCs w:val="18"/>
                <w:lang w:val="pl-PL"/>
              </w:rPr>
              <w:t>hospitalizaci</w:t>
            </w:r>
            <w:proofErr w:type="spellEnd"/>
            <w:r w:rsidRPr="00E54B2D">
              <w:rPr>
                <w:sz w:val="18"/>
                <w:szCs w:val="18"/>
                <w:lang w:val="pl-PL"/>
              </w:rPr>
              <w:t xml:space="preserve"> na pacjenta (rocznie)</w:t>
            </w:r>
          </w:p>
        </w:tc>
        <w:tc>
          <w:tcPr>
            <w:tcW w:w="4395" w:type="dxa"/>
            <w:tcBorders>
              <w:right w:val="single" w:sz="4" w:space="0" w:color="FFFFFF"/>
            </w:tcBorders>
            <w:shd w:val="clear" w:color="auto" w:fill="auto"/>
          </w:tcPr>
          <w:p w14:paraId="63A13EC8" w14:textId="77777777" w:rsidR="00E54B2D" w:rsidRPr="00E54B2D" w:rsidRDefault="00E54B2D" w:rsidP="00E54B2D">
            <w:pPr>
              <w:widowControl/>
              <w:autoSpaceDE/>
              <w:autoSpaceDN/>
              <w:adjustRightInd/>
              <w:spacing w:beforeLines="20" w:before="48" w:afterLines="20" w:after="48"/>
              <w:jc w:val="center"/>
              <w:rPr>
                <w:color w:val="000000"/>
                <w:sz w:val="18"/>
                <w:szCs w:val="18"/>
                <w:lang w:val="pl-PL"/>
              </w:rPr>
            </w:pPr>
            <w:r w:rsidRPr="00E54B2D">
              <w:rPr>
                <w:color w:val="000000"/>
                <w:sz w:val="18"/>
                <w:szCs w:val="18"/>
                <w:lang w:val="pl-PL"/>
              </w:rPr>
              <w:t>Do weryfikacji w trakcie pilotażu</w:t>
            </w:r>
          </w:p>
        </w:tc>
      </w:tr>
      <w:tr w:rsidR="00E54B2D" w:rsidRPr="00C57815" w14:paraId="3C5965FD" w14:textId="77777777" w:rsidTr="00E54B2D">
        <w:trPr>
          <w:trHeight w:val="150"/>
        </w:trPr>
        <w:tc>
          <w:tcPr>
            <w:tcW w:w="4536" w:type="dxa"/>
            <w:tcBorders>
              <w:left w:val="single" w:sz="4" w:space="0" w:color="FFFFFF"/>
            </w:tcBorders>
            <w:shd w:val="clear" w:color="auto" w:fill="auto"/>
            <w:vAlign w:val="center"/>
          </w:tcPr>
          <w:p w14:paraId="5BA9ECC3" w14:textId="77777777" w:rsidR="00E54B2D" w:rsidRPr="00E54B2D" w:rsidRDefault="00E54B2D" w:rsidP="00E54B2D">
            <w:pPr>
              <w:widowControl/>
              <w:autoSpaceDE/>
              <w:autoSpaceDN/>
              <w:adjustRightInd/>
              <w:spacing w:beforeLines="20" w:before="48" w:afterLines="20" w:after="48"/>
              <w:jc w:val="left"/>
              <w:rPr>
                <w:sz w:val="18"/>
                <w:szCs w:val="18"/>
                <w:lang w:val="pl-PL"/>
              </w:rPr>
            </w:pPr>
            <w:r w:rsidRPr="00E54B2D">
              <w:rPr>
                <w:sz w:val="18"/>
                <w:szCs w:val="18"/>
                <w:lang w:val="pl-PL"/>
              </w:rPr>
              <w:t>Długość hospitalizacji/pacjenta/rok</w:t>
            </w:r>
          </w:p>
        </w:tc>
        <w:tc>
          <w:tcPr>
            <w:tcW w:w="4395" w:type="dxa"/>
            <w:tcBorders>
              <w:right w:val="single" w:sz="4" w:space="0" w:color="FFFFFF"/>
            </w:tcBorders>
            <w:shd w:val="clear" w:color="auto" w:fill="auto"/>
          </w:tcPr>
          <w:p w14:paraId="20ECED54" w14:textId="77777777" w:rsidR="00E54B2D" w:rsidRPr="00E54B2D" w:rsidRDefault="00E54B2D" w:rsidP="00E54B2D">
            <w:pPr>
              <w:widowControl/>
              <w:autoSpaceDE/>
              <w:autoSpaceDN/>
              <w:adjustRightInd/>
              <w:spacing w:beforeLines="20" w:before="48" w:afterLines="20" w:after="48"/>
              <w:jc w:val="center"/>
              <w:rPr>
                <w:color w:val="000000"/>
                <w:sz w:val="18"/>
                <w:szCs w:val="18"/>
                <w:lang w:val="pl-PL"/>
              </w:rPr>
            </w:pPr>
            <w:r w:rsidRPr="00E54B2D">
              <w:rPr>
                <w:color w:val="000000"/>
                <w:sz w:val="18"/>
                <w:szCs w:val="18"/>
                <w:lang w:val="pl-PL"/>
              </w:rPr>
              <w:t>Do weryfikacji w trakcie pilotażu</w:t>
            </w:r>
          </w:p>
        </w:tc>
      </w:tr>
      <w:tr w:rsidR="00E54B2D" w:rsidRPr="00E54B2D" w14:paraId="5C8922AC" w14:textId="77777777" w:rsidTr="00E54B2D">
        <w:trPr>
          <w:trHeight w:val="150"/>
        </w:trPr>
        <w:tc>
          <w:tcPr>
            <w:tcW w:w="4536" w:type="dxa"/>
            <w:tcBorders>
              <w:left w:val="single" w:sz="4" w:space="0" w:color="FFFFFF"/>
            </w:tcBorders>
            <w:shd w:val="clear" w:color="auto" w:fill="auto"/>
            <w:vAlign w:val="center"/>
          </w:tcPr>
          <w:p w14:paraId="4CAA76C6" w14:textId="77777777" w:rsidR="00E54B2D" w:rsidRPr="00E54B2D" w:rsidRDefault="00E54B2D" w:rsidP="00E54B2D">
            <w:pPr>
              <w:widowControl/>
              <w:autoSpaceDE/>
              <w:autoSpaceDN/>
              <w:adjustRightInd/>
              <w:spacing w:beforeLines="20" w:before="48" w:afterLines="20" w:after="48"/>
              <w:jc w:val="left"/>
              <w:rPr>
                <w:sz w:val="18"/>
                <w:szCs w:val="18"/>
                <w:lang w:val="pl-PL"/>
              </w:rPr>
            </w:pPr>
            <w:r w:rsidRPr="00E54B2D">
              <w:rPr>
                <w:sz w:val="18"/>
                <w:szCs w:val="18"/>
                <w:lang w:val="pl-PL"/>
              </w:rPr>
              <w:t>Skorygowana śmiertelność</w:t>
            </w:r>
          </w:p>
        </w:tc>
        <w:tc>
          <w:tcPr>
            <w:tcW w:w="4395" w:type="dxa"/>
            <w:tcBorders>
              <w:right w:val="single" w:sz="4" w:space="0" w:color="FFFFFF"/>
            </w:tcBorders>
            <w:shd w:val="clear" w:color="auto" w:fill="auto"/>
          </w:tcPr>
          <w:p w14:paraId="429B57EE" w14:textId="77777777" w:rsidR="00E54B2D" w:rsidRPr="00E54B2D" w:rsidRDefault="00E54B2D" w:rsidP="00E54B2D">
            <w:pPr>
              <w:widowControl/>
              <w:autoSpaceDE/>
              <w:autoSpaceDN/>
              <w:adjustRightInd/>
              <w:spacing w:beforeLines="20" w:before="48" w:afterLines="20" w:after="48"/>
              <w:jc w:val="center"/>
              <w:rPr>
                <w:color w:val="000000"/>
                <w:sz w:val="18"/>
                <w:szCs w:val="18"/>
                <w:lang w:val="pl-PL"/>
              </w:rPr>
            </w:pPr>
            <w:r w:rsidRPr="00E54B2D">
              <w:rPr>
                <w:sz w:val="18"/>
                <w:szCs w:val="18"/>
                <w:lang w:val="pl-PL"/>
              </w:rPr>
              <w:t>&lt;20%</w:t>
            </w:r>
          </w:p>
        </w:tc>
      </w:tr>
      <w:tr w:rsidR="00E54B2D" w:rsidRPr="00E54B2D" w14:paraId="776D9668" w14:textId="77777777" w:rsidTr="00E54B2D">
        <w:trPr>
          <w:trHeight w:val="36"/>
        </w:trPr>
        <w:tc>
          <w:tcPr>
            <w:tcW w:w="8931" w:type="dxa"/>
            <w:gridSpan w:val="2"/>
            <w:tcBorders>
              <w:left w:val="single" w:sz="4" w:space="0" w:color="FFFFFF"/>
              <w:bottom w:val="single" w:sz="4" w:space="0" w:color="808080"/>
              <w:right w:val="single" w:sz="4" w:space="0" w:color="FFFFFF"/>
            </w:tcBorders>
            <w:shd w:val="clear" w:color="auto" w:fill="F2F2F2"/>
            <w:vAlign w:val="center"/>
          </w:tcPr>
          <w:p w14:paraId="1403F8D4" w14:textId="77777777" w:rsidR="00E54B2D" w:rsidRPr="00E54B2D" w:rsidRDefault="00E54B2D" w:rsidP="00E54B2D">
            <w:pPr>
              <w:widowControl/>
              <w:autoSpaceDE/>
              <w:autoSpaceDN/>
              <w:adjustRightInd/>
              <w:spacing w:beforeLines="20" w:before="48" w:afterLines="25" w:after="60"/>
              <w:jc w:val="left"/>
              <w:rPr>
                <w:b/>
                <w:sz w:val="18"/>
                <w:szCs w:val="18"/>
                <w:lang w:val="pl-PL"/>
              </w:rPr>
            </w:pPr>
            <w:r w:rsidRPr="00E54B2D">
              <w:rPr>
                <w:b/>
                <w:sz w:val="18"/>
                <w:szCs w:val="18"/>
                <w:lang w:val="pl-PL"/>
              </w:rPr>
              <w:t>Parametry leczenia</w:t>
            </w:r>
          </w:p>
        </w:tc>
      </w:tr>
      <w:tr w:rsidR="00E54B2D" w:rsidRPr="00C57815" w14:paraId="4E92D79B" w14:textId="77777777" w:rsidTr="00E54B2D">
        <w:trPr>
          <w:trHeight w:val="36"/>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4230193B" w14:textId="116196E8" w:rsidR="00E54B2D" w:rsidRPr="00E54B2D" w:rsidRDefault="00021A86" w:rsidP="00E54B2D">
            <w:pPr>
              <w:widowControl/>
              <w:tabs>
                <w:tab w:val="left" w:pos="133"/>
                <w:tab w:val="left" w:pos="288"/>
              </w:tabs>
              <w:autoSpaceDE/>
              <w:autoSpaceDN/>
              <w:adjustRightInd/>
              <w:spacing w:before="48" w:after="48"/>
              <w:jc w:val="left"/>
              <w:rPr>
                <w:rFonts w:ascii="Times New Roman" w:hAnsi="Times New Roman" w:cs="Arial"/>
                <w:sz w:val="18"/>
                <w:szCs w:val="18"/>
                <w:lang w:val="pl-PL"/>
              </w:rPr>
            </w:pPr>
            <w:r w:rsidRPr="00021A86">
              <w:rPr>
                <w:color w:val="000000"/>
                <w:sz w:val="18"/>
                <w:szCs w:val="18"/>
                <w:lang w:val="pl-PL"/>
              </w:rPr>
              <w:t>stan nawodnienia oceniany poprzez pomiar ciśnienia tętniczego krwi (parametr określany co 3 miesiące)</w:t>
            </w:r>
          </w:p>
        </w:tc>
        <w:tc>
          <w:tcPr>
            <w:tcW w:w="4395" w:type="dxa"/>
            <w:tcBorders>
              <w:top w:val="single" w:sz="4" w:space="0" w:color="808080"/>
              <w:left w:val="single" w:sz="4" w:space="0" w:color="808080"/>
              <w:bottom w:val="single" w:sz="4" w:space="0" w:color="808080"/>
              <w:right w:val="single" w:sz="4" w:space="0" w:color="FFFFFF"/>
            </w:tcBorders>
            <w:shd w:val="clear" w:color="auto" w:fill="auto"/>
          </w:tcPr>
          <w:p w14:paraId="489D1DF3" w14:textId="333E7A1A" w:rsidR="00E54B2D" w:rsidRPr="00E54B2D" w:rsidRDefault="00021A86" w:rsidP="00021A86">
            <w:pPr>
              <w:widowControl/>
              <w:tabs>
                <w:tab w:val="left" w:pos="288"/>
              </w:tabs>
              <w:autoSpaceDE/>
              <w:autoSpaceDN/>
              <w:adjustRightInd/>
              <w:jc w:val="center"/>
              <w:rPr>
                <w:b/>
                <w:sz w:val="18"/>
                <w:szCs w:val="18"/>
                <w:lang w:val="pl-PL"/>
              </w:rPr>
            </w:pPr>
            <w:r w:rsidRPr="00021A86">
              <w:rPr>
                <w:rFonts w:eastAsiaTheme="minorEastAsia"/>
                <w:color w:val="000000" w:themeColor="text1"/>
                <w:sz w:val="18"/>
                <w:szCs w:val="18"/>
                <w:lang w:val="pl-PL"/>
              </w:rPr>
              <w:t>skurczowe ciśnienie tętnicze w granicach 130 - 160 mmHg</w:t>
            </w:r>
            <w:r w:rsidRPr="00E54B2D" w:rsidDel="00021A86">
              <w:rPr>
                <w:color w:val="000000"/>
                <w:sz w:val="18"/>
                <w:szCs w:val="18"/>
                <w:lang w:val="pl-PL"/>
              </w:rPr>
              <w:t xml:space="preserve"> </w:t>
            </w:r>
          </w:p>
        </w:tc>
      </w:tr>
      <w:tr w:rsidR="00E54B2D" w:rsidRPr="00C57815" w14:paraId="54C089A6" w14:textId="77777777" w:rsidTr="00E54B2D">
        <w:trPr>
          <w:trHeight w:val="36"/>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72663776" w14:textId="77777777" w:rsidR="00E54B2D" w:rsidRPr="00E54B2D" w:rsidRDefault="00E54B2D" w:rsidP="00E54B2D">
            <w:pPr>
              <w:widowControl/>
              <w:autoSpaceDE/>
              <w:autoSpaceDN/>
              <w:adjustRightInd/>
              <w:spacing w:beforeLines="20" w:before="48" w:afterLines="20" w:after="48"/>
              <w:jc w:val="left"/>
              <w:rPr>
                <w:sz w:val="18"/>
                <w:szCs w:val="18"/>
                <w:lang w:val="pl-PL"/>
              </w:rPr>
            </w:pPr>
            <w:r w:rsidRPr="00E54B2D">
              <w:rPr>
                <w:color w:val="000000"/>
                <w:sz w:val="18"/>
                <w:szCs w:val="18"/>
                <w:lang w:val="pl-PL"/>
              </w:rPr>
              <w:t xml:space="preserve">stan odżywienia pacjentów mierzony metodą </w:t>
            </w:r>
            <w:proofErr w:type="spellStart"/>
            <w:r w:rsidRPr="00E54B2D">
              <w:rPr>
                <w:color w:val="000000"/>
                <w:sz w:val="18"/>
                <w:szCs w:val="18"/>
                <w:lang w:val="pl-PL"/>
              </w:rPr>
              <w:t>bioimpedancji</w:t>
            </w:r>
            <w:proofErr w:type="spellEnd"/>
            <w:r w:rsidRPr="00E54B2D">
              <w:rPr>
                <w:color w:val="000000"/>
                <w:sz w:val="18"/>
                <w:szCs w:val="18"/>
                <w:lang w:val="pl-PL"/>
              </w:rPr>
              <w:t xml:space="preserve"> lub na podstawie stężenia albumin i kreatyniny lub skali SGA (parametr określany co 3 miesiące)</w:t>
            </w:r>
          </w:p>
        </w:tc>
        <w:tc>
          <w:tcPr>
            <w:tcW w:w="4395" w:type="dxa"/>
            <w:tcBorders>
              <w:top w:val="single" w:sz="4" w:space="0" w:color="808080"/>
              <w:left w:val="single" w:sz="4" w:space="0" w:color="808080"/>
              <w:bottom w:val="single" w:sz="4" w:space="0" w:color="808080"/>
              <w:right w:val="single" w:sz="4" w:space="0" w:color="FFFFFF"/>
            </w:tcBorders>
            <w:shd w:val="clear" w:color="auto" w:fill="auto"/>
            <w:vAlign w:val="center"/>
          </w:tcPr>
          <w:p w14:paraId="566AA81F" w14:textId="77777777" w:rsidR="00E54B2D" w:rsidRPr="00E54B2D" w:rsidRDefault="00E54B2D" w:rsidP="00E54B2D">
            <w:pPr>
              <w:widowControl/>
              <w:autoSpaceDE/>
              <w:autoSpaceDN/>
              <w:adjustRightInd/>
              <w:spacing w:beforeLines="20" w:before="48" w:afterLines="25" w:after="60"/>
              <w:jc w:val="center"/>
              <w:rPr>
                <w:b/>
                <w:sz w:val="18"/>
                <w:szCs w:val="18"/>
                <w:lang w:val="pl-PL"/>
              </w:rPr>
            </w:pPr>
            <w:r w:rsidRPr="00E54B2D">
              <w:rPr>
                <w:color w:val="000000"/>
                <w:sz w:val="18"/>
                <w:szCs w:val="18"/>
                <w:lang w:val="pl-PL"/>
              </w:rPr>
              <w:t>Do weryfikacji w trakcie pilotażu </w:t>
            </w:r>
          </w:p>
        </w:tc>
      </w:tr>
      <w:tr w:rsidR="00E54B2D" w:rsidRPr="00C57815" w14:paraId="097D8B6B" w14:textId="77777777" w:rsidTr="00E54B2D">
        <w:trPr>
          <w:trHeight w:val="33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796D7DB8" w14:textId="77777777" w:rsidR="00E54B2D" w:rsidRPr="00E54B2D" w:rsidRDefault="00E54B2D" w:rsidP="00E54B2D">
            <w:pPr>
              <w:widowControl/>
              <w:autoSpaceDE/>
              <w:autoSpaceDN/>
              <w:adjustRightInd/>
              <w:spacing w:beforeLines="20" w:before="48" w:afterLines="20" w:after="48"/>
              <w:jc w:val="left"/>
              <w:rPr>
                <w:sz w:val="18"/>
                <w:szCs w:val="18"/>
                <w:lang w:val="pl-PL"/>
              </w:rPr>
            </w:pPr>
            <w:proofErr w:type="spellStart"/>
            <w:r w:rsidRPr="00E54B2D">
              <w:rPr>
                <w:color w:val="000000"/>
                <w:sz w:val="18"/>
                <w:szCs w:val="18"/>
              </w:rPr>
              <w:t>stężenie</w:t>
            </w:r>
            <w:proofErr w:type="spellEnd"/>
            <w:r w:rsidRPr="00E54B2D">
              <w:rPr>
                <w:color w:val="000000"/>
                <w:sz w:val="18"/>
                <w:szCs w:val="18"/>
              </w:rPr>
              <w:t xml:space="preserve"> </w:t>
            </w:r>
            <w:proofErr w:type="spellStart"/>
            <w:r w:rsidRPr="00E54B2D">
              <w:rPr>
                <w:color w:val="000000"/>
                <w:sz w:val="18"/>
                <w:szCs w:val="18"/>
              </w:rPr>
              <w:t>hemoglobiny</w:t>
            </w:r>
            <w:proofErr w:type="spellEnd"/>
            <w:r w:rsidRPr="00E54B2D">
              <w:rPr>
                <w:color w:val="000000"/>
                <w:sz w:val="18"/>
                <w:szCs w:val="18"/>
              </w:rPr>
              <w:t xml:space="preserve"> </w:t>
            </w:r>
          </w:p>
        </w:tc>
        <w:tc>
          <w:tcPr>
            <w:tcW w:w="4395" w:type="dxa"/>
            <w:tcBorders>
              <w:top w:val="single" w:sz="4" w:space="0" w:color="808080"/>
              <w:left w:val="single" w:sz="4" w:space="0" w:color="808080"/>
              <w:right w:val="single" w:sz="4" w:space="0" w:color="FFFFFF"/>
            </w:tcBorders>
            <w:shd w:val="clear" w:color="auto" w:fill="auto"/>
            <w:vAlign w:val="center"/>
          </w:tcPr>
          <w:p w14:paraId="6A0CD613" w14:textId="5C24996F" w:rsidR="00E54B2D" w:rsidRPr="00191FE1" w:rsidRDefault="00191FE1" w:rsidP="00E54B2D">
            <w:pPr>
              <w:widowControl/>
              <w:autoSpaceDE/>
              <w:autoSpaceDN/>
              <w:adjustRightInd/>
              <w:spacing w:beforeLines="20" w:before="48" w:afterLines="25" w:after="60"/>
              <w:jc w:val="center"/>
              <w:rPr>
                <w:b/>
                <w:sz w:val="18"/>
                <w:szCs w:val="18"/>
                <w:lang w:val="pl-PL"/>
              </w:rPr>
            </w:pPr>
            <w:r w:rsidRPr="0056444F">
              <w:rPr>
                <w:color w:val="000000"/>
                <w:kern w:val="12"/>
                <w:sz w:val="18"/>
                <w:szCs w:val="18"/>
                <w:lang w:val="pl-PL"/>
              </w:rPr>
              <w:t>10–12 g/dl lub &gt;12 g/dl dla chorych nie leczonych ESA</w:t>
            </w:r>
          </w:p>
        </w:tc>
      </w:tr>
      <w:tr w:rsidR="00E54B2D" w:rsidRPr="00C57815" w14:paraId="52A1E7AC" w14:textId="77777777" w:rsidTr="00E54B2D">
        <w:trPr>
          <w:trHeight w:val="330"/>
        </w:trPr>
        <w:tc>
          <w:tcPr>
            <w:tcW w:w="4536" w:type="dxa"/>
            <w:tcBorders>
              <w:top w:val="single" w:sz="4" w:space="0" w:color="808080"/>
              <w:left w:val="single" w:sz="4" w:space="0" w:color="FFFFFF"/>
              <w:bottom w:val="single" w:sz="4" w:space="0" w:color="808080"/>
              <w:right w:val="single" w:sz="4" w:space="0" w:color="808080"/>
            </w:tcBorders>
            <w:shd w:val="clear" w:color="auto" w:fill="auto"/>
            <w:vAlign w:val="center"/>
          </w:tcPr>
          <w:p w14:paraId="305A4CA8" w14:textId="77777777" w:rsidR="00E54B2D" w:rsidRPr="00E54B2D" w:rsidRDefault="00E54B2D" w:rsidP="00E54B2D">
            <w:pPr>
              <w:widowControl/>
              <w:autoSpaceDE/>
              <w:autoSpaceDN/>
              <w:adjustRightInd/>
              <w:spacing w:beforeLines="20" w:before="48" w:afterLines="20" w:after="48"/>
              <w:ind w:left="288" w:hanging="288"/>
              <w:jc w:val="left"/>
              <w:rPr>
                <w:color w:val="000000"/>
                <w:sz w:val="18"/>
                <w:szCs w:val="18"/>
                <w:lang w:val="pl-PL"/>
              </w:rPr>
            </w:pPr>
            <w:r w:rsidRPr="00E54B2D">
              <w:rPr>
                <w:color w:val="000000"/>
                <w:sz w:val="18"/>
                <w:szCs w:val="18"/>
                <w:lang w:val="pl-PL"/>
              </w:rPr>
              <w:t>gospodarka wapniowo-fosforanowa</w:t>
            </w:r>
          </w:p>
          <w:p w14:paraId="133B9922" w14:textId="77777777" w:rsidR="00E54B2D" w:rsidRPr="00E54B2D" w:rsidRDefault="00E54B2D" w:rsidP="00E54B2D">
            <w:pPr>
              <w:widowControl/>
              <w:autoSpaceDE/>
              <w:autoSpaceDN/>
              <w:adjustRightInd/>
              <w:spacing w:beforeLines="20" w:before="48" w:afterLines="20" w:after="48"/>
              <w:jc w:val="left"/>
              <w:rPr>
                <w:color w:val="000000"/>
                <w:sz w:val="18"/>
                <w:szCs w:val="18"/>
                <w:lang w:val="pl-PL"/>
              </w:rPr>
            </w:pPr>
            <w:r w:rsidRPr="00E54B2D">
              <w:rPr>
                <w:color w:val="000000"/>
                <w:sz w:val="18"/>
                <w:szCs w:val="18"/>
                <w:lang w:val="pl-PL"/>
              </w:rPr>
              <w:t>stężenie parathormonu (PTH) (parametr określany co 6 miesięcy)</w:t>
            </w:r>
          </w:p>
          <w:p w14:paraId="706E677E" w14:textId="77777777" w:rsidR="00E54B2D" w:rsidRPr="00E54B2D" w:rsidRDefault="00E54B2D" w:rsidP="00E54B2D">
            <w:pPr>
              <w:widowControl/>
              <w:autoSpaceDE/>
              <w:autoSpaceDN/>
              <w:adjustRightInd/>
              <w:spacing w:beforeLines="20" w:before="48" w:afterLines="20" w:after="48"/>
              <w:ind w:left="29"/>
              <w:jc w:val="left"/>
              <w:rPr>
                <w:color w:val="000000"/>
                <w:sz w:val="18"/>
                <w:szCs w:val="18"/>
                <w:lang w:val="pl-PL"/>
              </w:rPr>
            </w:pPr>
            <w:r w:rsidRPr="00E54B2D">
              <w:rPr>
                <w:color w:val="000000"/>
                <w:sz w:val="18"/>
                <w:szCs w:val="18"/>
                <w:lang w:val="pl-PL"/>
              </w:rPr>
              <w:t>stężenie fosforanów (parametr określany co 6 tygodni)</w:t>
            </w:r>
          </w:p>
        </w:tc>
        <w:tc>
          <w:tcPr>
            <w:tcW w:w="4395" w:type="dxa"/>
            <w:tcBorders>
              <w:left w:val="single" w:sz="4" w:space="0" w:color="808080"/>
              <w:bottom w:val="single" w:sz="4" w:space="0" w:color="808080"/>
              <w:right w:val="single" w:sz="4" w:space="0" w:color="FFFFFF"/>
            </w:tcBorders>
            <w:shd w:val="clear" w:color="auto" w:fill="auto"/>
            <w:vAlign w:val="center"/>
          </w:tcPr>
          <w:p w14:paraId="56854B2D" w14:textId="77777777" w:rsidR="00E54B2D" w:rsidRPr="00E54B2D" w:rsidRDefault="00E54B2D" w:rsidP="00E54B2D">
            <w:pPr>
              <w:widowControl/>
              <w:tabs>
                <w:tab w:val="left" w:pos="288"/>
              </w:tabs>
              <w:autoSpaceDE/>
              <w:autoSpaceDN/>
              <w:adjustRightInd/>
              <w:spacing w:before="0" w:after="0"/>
              <w:jc w:val="center"/>
              <w:rPr>
                <w:color w:val="000000"/>
                <w:sz w:val="18"/>
                <w:szCs w:val="18"/>
                <w:lang w:val="pl-PL"/>
              </w:rPr>
            </w:pPr>
            <w:r w:rsidRPr="00E54B2D">
              <w:rPr>
                <w:color w:val="000000"/>
                <w:sz w:val="18"/>
                <w:szCs w:val="18"/>
                <w:lang w:val="pl-PL"/>
              </w:rPr>
              <w:t>Do weryfikacji w trakcie pilotażu</w:t>
            </w:r>
          </w:p>
        </w:tc>
      </w:tr>
    </w:tbl>
    <w:p w14:paraId="59D4B7AE" w14:textId="77777777" w:rsidR="00097176" w:rsidRPr="009A76F3" w:rsidRDefault="00097176" w:rsidP="0071236A">
      <w:pPr>
        <w:spacing w:after="200"/>
        <w:ind w:right="3926"/>
        <w:rPr>
          <w:rFonts w:ascii="EYInterstate" w:hAnsi="EYInterstate"/>
          <w:sz w:val="20"/>
          <w:lang w:val="pl-PL"/>
        </w:rPr>
        <w:sectPr w:rsidR="00097176" w:rsidRPr="009A76F3" w:rsidSect="00E46CBF">
          <w:footerReference w:type="default" r:id="rId27"/>
          <w:pgSz w:w="16834" w:h="11909" w:orient="landscape" w:code="9"/>
          <w:pgMar w:top="1440" w:right="1440" w:bottom="1440" w:left="1440" w:header="720" w:footer="720" w:gutter="0"/>
          <w:cols w:space="720"/>
          <w:docGrid w:linePitch="360"/>
        </w:sectPr>
      </w:pPr>
    </w:p>
    <w:p w14:paraId="5097717E" w14:textId="77777777" w:rsidR="007254A8" w:rsidRPr="00F21355" w:rsidRDefault="007254A8" w:rsidP="00F21355">
      <w:pPr>
        <w:pStyle w:val="EYHeading2"/>
        <w:numPr>
          <w:ilvl w:val="0"/>
          <w:numId w:val="0"/>
        </w:numPr>
        <w:rPr>
          <w:rFonts w:eastAsia="Calibri"/>
          <w:color w:val="000000" w:themeColor="text1"/>
          <w:lang w:val="pl-PL"/>
        </w:rPr>
      </w:pPr>
      <w:bookmarkStart w:id="593" w:name="_Toc486537953"/>
      <w:r w:rsidRPr="00F21355">
        <w:rPr>
          <w:rFonts w:eastAsia="Calibri"/>
          <w:color w:val="000000" w:themeColor="text1"/>
          <w:lang w:val="pl-PL"/>
        </w:rPr>
        <w:lastRenderedPageBreak/>
        <w:t>Spis rysunków</w:t>
      </w:r>
      <w:bookmarkEnd w:id="593"/>
    </w:p>
    <w:p w14:paraId="5CE9BC19" w14:textId="77777777" w:rsidR="007254A8" w:rsidRPr="007254A8" w:rsidRDefault="007254A8">
      <w:pPr>
        <w:widowControl/>
        <w:autoSpaceDE/>
        <w:autoSpaceDN/>
        <w:adjustRightInd/>
        <w:spacing w:before="0" w:after="0" w:line="240" w:lineRule="auto"/>
        <w:jc w:val="left"/>
        <w:rPr>
          <w:sz w:val="20"/>
          <w:lang w:val="pl-PL"/>
        </w:rPr>
      </w:pPr>
    </w:p>
    <w:p w14:paraId="627008AB" w14:textId="77777777" w:rsidR="00F760DC" w:rsidRDefault="007254A8">
      <w:pPr>
        <w:pStyle w:val="Spisilustracji"/>
        <w:tabs>
          <w:tab w:val="right" w:pos="9019"/>
        </w:tabs>
        <w:rPr>
          <w:rFonts w:eastAsiaTheme="minorEastAsia" w:cstheme="minorBidi"/>
          <w:caps w:val="0"/>
          <w:noProof/>
          <w:sz w:val="22"/>
          <w:szCs w:val="22"/>
          <w:lang w:val="pl-PL" w:eastAsia="pl-PL"/>
        </w:rPr>
      </w:pPr>
      <w:r w:rsidRPr="007254A8">
        <w:rPr>
          <w:rFonts w:ascii="EYInterstate Light" w:hAnsi="EYInterstate Light"/>
          <w:lang w:val="pl-PL"/>
        </w:rPr>
        <w:fldChar w:fldCharType="begin"/>
      </w:r>
      <w:r w:rsidRPr="007254A8">
        <w:rPr>
          <w:rFonts w:ascii="EYInterstate Light" w:hAnsi="EYInterstate Light"/>
          <w:lang w:val="pl-PL"/>
        </w:rPr>
        <w:instrText xml:space="preserve"> TOC \h \z \c "Rysunek" </w:instrText>
      </w:r>
      <w:r w:rsidRPr="007254A8">
        <w:rPr>
          <w:rFonts w:ascii="EYInterstate Light" w:hAnsi="EYInterstate Light"/>
          <w:lang w:val="pl-PL"/>
        </w:rPr>
        <w:fldChar w:fldCharType="separate"/>
      </w:r>
      <w:hyperlink w:anchor="_Toc486537957" w:history="1">
        <w:r w:rsidR="00F760DC" w:rsidRPr="00493018">
          <w:rPr>
            <w:rStyle w:val="Hipercze"/>
            <w:b/>
            <w:noProof/>
            <w:lang w:val="pl-PL"/>
          </w:rPr>
          <w:t>Rysunek 1 Schemat aktualnego modelu opieki nad pacjentem z PChN – rozproszenie i defragmentacja świadczeń</w:t>
        </w:r>
        <w:r w:rsidR="00F760DC">
          <w:rPr>
            <w:noProof/>
            <w:webHidden/>
          </w:rPr>
          <w:tab/>
        </w:r>
        <w:r w:rsidR="00F760DC">
          <w:rPr>
            <w:noProof/>
            <w:webHidden/>
          </w:rPr>
          <w:fldChar w:fldCharType="begin"/>
        </w:r>
        <w:r w:rsidR="00F760DC">
          <w:rPr>
            <w:noProof/>
            <w:webHidden/>
          </w:rPr>
          <w:instrText xml:space="preserve"> PAGEREF _Toc486537957 \h </w:instrText>
        </w:r>
        <w:r w:rsidR="00F760DC">
          <w:rPr>
            <w:noProof/>
            <w:webHidden/>
          </w:rPr>
        </w:r>
        <w:r w:rsidR="00F760DC">
          <w:rPr>
            <w:noProof/>
            <w:webHidden/>
          </w:rPr>
          <w:fldChar w:fldCharType="separate"/>
        </w:r>
        <w:r w:rsidR="005C7285">
          <w:rPr>
            <w:noProof/>
            <w:webHidden/>
          </w:rPr>
          <w:t>5</w:t>
        </w:r>
        <w:r w:rsidR="00F760DC">
          <w:rPr>
            <w:noProof/>
            <w:webHidden/>
          </w:rPr>
          <w:fldChar w:fldCharType="end"/>
        </w:r>
      </w:hyperlink>
    </w:p>
    <w:p w14:paraId="7F09700B"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58" w:history="1">
        <w:r w:rsidR="00F760DC" w:rsidRPr="00493018">
          <w:rPr>
            <w:rStyle w:val="Hipercze"/>
            <w:b/>
            <w:noProof/>
            <w:lang w:val="pl-PL"/>
          </w:rPr>
          <w:t>Rysunek 2 Kompetencje i zakres odpowiedzialności jednostki koordynującej</w:t>
        </w:r>
        <w:r w:rsidR="00F760DC">
          <w:rPr>
            <w:noProof/>
            <w:webHidden/>
          </w:rPr>
          <w:tab/>
        </w:r>
        <w:r w:rsidR="00F760DC">
          <w:rPr>
            <w:noProof/>
            <w:webHidden/>
          </w:rPr>
          <w:fldChar w:fldCharType="begin"/>
        </w:r>
        <w:r w:rsidR="00F760DC">
          <w:rPr>
            <w:noProof/>
            <w:webHidden/>
          </w:rPr>
          <w:instrText xml:space="preserve"> PAGEREF _Toc486537958 \h </w:instrText>
        </w:r>
        <w:r w:rsidR="00F760DC">
          <w:rPr>
            <w:noProof/>
            <w:webHidden/>
          </w:rPr>
        </w:r>
        <w:r w:rsidR="00F760DC">
          <w:rPr>
            <w:noProof/>
            <w:webHidden/>
          </w:rPr>
          <w:fldChar w:fldCharType="separate"/>
        </w:r>
        <w:r w:rsidR="005C7285">
          <w:rPr>
            <w:noProof/>
            <w:webHidden/>
          </w:rPr>
          <w:t>7</w:t>
        </w:r>
        <w:r w:rsidR="00F760DC">
          <w:rPr>
            <w:noProof/>
            <w:webHidden/>
          </w:rPr>
          <w:fldChar w:fldCharType="end"/>
        </w:r>
      </w:hyperlink>
    </w:p>
    <w:p w14:paraId="281C53BA"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59" w:history="1">
        <w:r w:rsidR="00F760DC" w:rsidRPr="00493018">
          <w:rPr>
            <w:rStyle w:val="Hipercze"/>
            <w:b/>
            <w:noProof/>
            <w:lang w:val="pl-PL"/>
          </w:rPr>
          <w:t>Rysunek 3 Moduły zaprojektowanego modelu opieki koordynowanej nad pacjentem w zaawansowanym stadium PChN</w:t>
        </w:r>
        <w:r w:rsidR="00F760DC">
          <w:rPr>
            <w:noProof/>
            <w:webHidden/>
          </w:rPr>
          <w:tab/>
        </w:r>
        <w:r w:rsidR="00F760DC">
          <w:rPr>
            <w:noProof/>
            <w:webHidden/>
          </w:rPr>
          <w:fldChar w:fldCharType="begin"/>
        </w:r>
        <w:r w:rsidR="00F760DC">
          <w:rPr>
            <w:noProof/>
            <w:webHidden/>
          </w:rPr>
          <w:instrText xml:space="preserve"> PAGEREF _Toc486537959 \h </w:instrText>
        </w:r>
        <w:r w:rsidR="00F760DC">
          <w:rPr>
            <w:noProof/>
            <w:webHidden/>
          </w:rPr>
        </w:r>
        <w:r w:rsidR="00F760DC">
          <w:rPr>
            <w:noProof/>
            <w:webHidden/>
          </w:rPr>
          <w:fldChar w:fldCharType="separate"/>
        </w:r>
        <w:r w:rsidR="005C7285">
          <w:rPr>
            <w:noProof/>
            <w:webHidden/>
          </w:rPr>
          <w:t>9</w:t>
        </w:r>
        <w:r w:rsidR="00F760DC">
          <w:rPr>
            <w:noProof/>
            <w:webHidden/>
          </w:rPr>
          <w:fldChar w:fldCharType="end"/>
        </w:r>
      </w:hyperlink>
    </w:p>
    <w:p w14:paraId="61C4D89D"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0" w:history="1">
        <w:r w:rsidR="00F760DC" w:rsidRPr="00493018">
          <w:rPr>
            <w:rStyle w:val="Hipercze"/>
            <w:b/>
            <w:noProof/>
            <w:lang w:val="pl-PL"/>
          </w:rPr>
          <w:t>Rysunek 4 Schemat aktualnego modelu opieki nad pacjentem z PChN – rozproszenie i defragmentacja świadczeń</w:t>
        </w:r>
        <w:r w:rsidR="00F760DC">
          <w:rPr>
            <w:noProof/>
            <w:webHidden/>
          </w:rPr>
          <w:tab/>
        </w:r>
        <w:r w:rsidR="00F760DC">
          <w:rPr>
            <w:noProof/>
            <w:webHidden/>
          </w:rPr>
          <w:fldChar w:fldCharType="begin"/>
        </w:r>
        <w:r w:rsidR="00F760DC">
          <w:rPr>
            <w:noProof/>
            <w:webHidden/>
          </w:rPr>
          <w:instrText xml:space="preserve"> PAGEREF _Toc486537960 \h </w:instrText>
        </w:r>
        <w:r w:rsidR="00F760DC">
          <w:rPr>
            <w:noProof/>
            <w:webHidden/>
          </w:rPr>
        </w:r>
        <w:r w:rsidR="00F760DC">
          <w:rPr>
            <w:noProof/>
            <w:webHidden/>
          </w:rPr>
          <w:fldChar w:fldCharType="separate"/>
        </w:r>
        <w:r w:rsidR="005C7285">
          <w:rPr>
            <w:noProof/>
            <w:webHidden/>
          </w:rPr>
          <w:t>40</w:t>
        </w:r>
        <w:r w:rsidR="00F760DC">
          <w:rPr>
            <w:noProof/>
            <w:webHidden/>
          </w:rPr>
          <w:fldChar w:fldCharType="end"/>
        </w:r>
      </w:hyperlink>
    </w:p>
    <w:p w14:paraId="57B6FB44"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1" w:history="1">
        <w:r w:rsidR="00F760DC" w:rsidRPr="00493018">
          <w:rPr>
            <w:rStyle w:val="Hipercze"/>
            <w:b/>
            <w:noProof/>
            <w:lang w:val="pl-PL"/>
          </w:rPr>
          <w:t>Rysunek 5 Zakres odpowiedzialności w proponowanym modelu opieki koordynowanej nad pacjentem w zaawansowanym stadium PChN</w:t>
        </w:r>
        <w:r w:rsidR="00F760DC">
          <w:rPr>
            <w:noProof/>
            <w:webHidden/>
          </w:rPr>
          <w:tab/>
        </w:r>
        <w:r w:rsidR="00F760DC">
          <w:rPr>
            <w:noProof/>
            <w:webHidden/>
          </w:rPr>
          <w:fldChar w:fldCharType="begin"/>
        </w:r>
        <w:r w:rsidR="00F760DC">
          <w:rPr>
            <w:noProof/>
            <w:webHidden/>
          </w:rPr>
          <w:instrText xml:space="preserve"> PAGEREF _Toc486537961 \h </w:instrText>
        </w:r>
        <w:r w:rsidR="00F760DC">
          <w:rPr>
            <w:noProof/>
            <w:webHidden/>
          </w:rPr>
        </w:r>
        <w:r w:rsidR="00F760DC">
          <w:rPr>
            <w:noProof/>
            <w:webHidden/>
          </w:rPr>
          <w:fldChar w:fldCharType="separate"/>
        </w:r>
        <w:r w:rsidR="005C7285">
          <w:rPr>
            <w:noProof/>
            <w:webHidden/>
          </w:rPr>
          <w:t>48</w:t>
        </w:r>
        <w:r w:rsidR="00F760DC">
          <w:rPr>
            <w:noProof/>
            <w:webHidden/>
          </w:rPr>
          <w:fldChar w:fldCharType="end"/>
        </w:r>
      </w:hyperlink>
    </w:p>
    <w:p w14:paraId="21D23FB0"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2" w:history="1">
        <w:r w:rsidR="00F760DC" w:rsidRPr="00493018">
          <w:rPr>
            <w:rStyle w:val="Hipercze"/>
            <w:b/>
            <w:noProof/>
            <w:lang w:val="pl-PL"/>
          </w:rPr>
          <w:t>Rysunek 6 Zarys harmonogramu wdrożenia wskaźników mierzących wyniki leczenia</w:t>
        </w:r>
        <w:r w:rsidR="00F760DC">
          <w:rPr>
            <w:noProof/>
            <w:webHidden/>
          </w:rPr>
          <w:tab/>
        </w:r>
        <w:r w:rsidR="00F760DC">
          <w:rPr>
            <w:noProof/>
            <w:webHidden/>
          </w:rPr>
          <w:fldChar w:fldCharType="begin"/>
        </w:r>
        <w:r w:rsidR="00F760DC">
          <w:rPr>
            <w:noProof/>
            <w:webHidden/>
          </w:rPr>
          <w:instrText xml:space="preserve"> PAGEREF _Toc486537962 \h </w:instrText>
        </w:r>
        <w:r w:rsidR="00F760DC">
          <w:rPr>
            <w:noProof/>
            <w:webHidden/>
          </w:rPr>
        </w:r>
        <w:r w:rsidR="00F760DC">
          <w:rPr>
            <w:noProof/>
            <w:webHidden/>
          </w:rPr>
          <w:fldChar w:fldCharType="separate"/>
        </w:r>
        <w:r w:rsidR="005C7285">
          <w:rPr>
            <w:noProof/>
            <w:webHidden/>
          </w:rPr>
          <w:t>56</w:t>
        </w:r>
        <w:r w:rsidR="00F760DC">
          <w:rPr>
            <w:noProof/>
            <w:webHidden/>
          </w:rPr>
          <w:fldChar w:fldCharType="end"/>
        </w:r>
      </w:hyperlink>
    </w:p>
    <w:p w14:paraId="19E21091"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3" w:history="1">
        <w:r w:rsidR="00F760DC" w:rsidRPr="00493018">
          <w:rPr>
            <w:rStyle w:val="Hipercze"/>
            <w:b/>
            <w:noProof/>
            <w:lang w:val="pl-PL"/>
          </w:rPr>
          <w:t>Rysunek 7 Proces koordynacji opieki nad pacjentem w zaawansowanym stadium PChN w ujęciu decyzyjnym i finansowym</w:t>
        </w:r>
        <w:r w:rsidR="00F760DC">
          <w:rPr>
            <w:noProof/>
            <w:webHidden/>
          </w:rPr>
          <w:tab/>
        </w:r>
        <w:r w:rsidR="00F760DC">
          <w:rPr>
            <w:noProof/>
            <w:webHidden/>
          </w:rPr>
          <w:fldChar w:fldCharType="begin"/>
        </w:r>
        <w:r w:rsidR="00F760DC">
          <w:rPr>
            <w:noProof/>
            <w:webHidden/>
          </w:rPr>
          <w:instrText xml:space="preserve"> PAGEREF _Toc486537963 \h </w:instrText>
        </w:r>
        <w:r w:rsidR="00F760DC">
          <w:rPr>
            <w:noProof/>
            <w:webHidden/>
          </w:rPr>
        </w:r>
        <w:r w:rsidR="00F760DC">
          <w:rPr>
            <w:noProof/>
            <w:webHidden/>
          </w:rPr>
          <w:fldChar w:fldCharType="separate"/>
        </w:r>
        <w:r w:rsidR="005C7285">
          <w:rPr>
            <w:noProof/>
            <w:webHidden/>
          </w:rPr>
          <w:t>60</w:t>
        </w:r>
        <w:r w:rsidR="00F760DC">
          <w:rPr>
            <w:noProof/>
            <w:webHidden/>
          </w:rPr>
          <w:fldChar w:fldCharType="end"/>
        </w:r>
      </w:hyperlink>
    </w:p>
    <w:p w14:paraId="0E1E54FB" w14:textId="77777777" w:rsidR="007254A8" w:rsidRPr="007254A8" w:rsidRDefault="007254A8">
      <w:pPr>
        <w:widowControl/>
        <w:autoSpaceDE/>
        <w:autoSpaceDN/>
        <w:adjustRightInd/>
        <w:spacing w:before="0" w:after="0" w:line="240" w:lineRule="auto"/>
        <w:jc w:val="left"/>
        <w:rPr>
          <w:sz w:val="20"/>
          <w:lang w:val="pl-PL"/>
        </w:rPr>
      </w:pPr>
      <w:r w:rsidRPr="007254A8">
        <w:rPr>
          <w:sz w:val="20"/>
          <w:lang w:val="pl-PL"/>
        </w:rPr>
        <w:fldChar w:fldCharType="end"/>
      </w:r>
    </w:p>
    <w:p w14:paraId="3CAED5C9" w14:textId="77777777" w:rsidR="007254A8" w:rsidRPr="00F21355" w:rsidRDefault="007254A8" w:rsidP="00F21355">
      <w:pPr>
        <w:pStyle w:val="EYHeading2"/>
        <w:numPr>
          <w:ilvl w:val="0"/>
          <w:numId w:val="0"/>
        </w:numPr>
        <w:rPr>
          <w:rFonts w:eastAsia="Calibri"/>
          <w:color w:val="000000" w:themeColor="text1"/>
          <w:lang w:val="pl-PL"/>
        </w:rPr>
      </w:pPr>
      <w:bookmarkStart w:id="594" w:name="_Toc486537954"/>
      <w:r w:rsidRPr="00F21355">
        <w:rPr>
          <w:rFonts w:eastAsia="Calibri"/>
          <w:color w:val="000000" w:themeColor="text1"/>
          <w:lang w:val="pl-PL"/>
        </w:rPr>
        <w:t>Spis tabel</w:t>
      </w:r>
      <w:bookmarkEnd w:id="594"/>
    </w:p>
    <w:p w14:paraId="1A4C4721" w14:textId="77777777" w:rsidR="007254A8" w:rsidRPr="007254A8" w:rsidRDefault="007254A8">
      <w:pPr>
        <w:widowControl/>
        <w:autoSpaceDE/>
        <w:autoSpaceDN/>
        <w:adjustRightInd/>
        <w:spacing w:before="0" w:after="0" w:line="240" w:lineRule="auto"/>
        <w:jc w:val="left"/>
        <w:rPr>
          <w:sz w:val="20"/>
          <w:lang w:val="pl-PL"/>
        </w:rPr>
      </w:pPr>
    </w:p>
    <w:p w14:paraId="534CD84B" w14:textId="77777777" w:rsidR="00F760DC" w:rsidRDefault="007254A8">
      <w:pPr>
        <w:pStyle w:val="Spisilustracji"/>
        <w:tabs>
          <w:tab w:val="right" w:pos="9019"/>
        </w:tabs>
        <w:rPr>
          <w:rFonts w:eastAsiaTheme="minorEastAsia" w:cstheme="minorBidi"/>
          <w:caps w:val="0"/>
          <w:noProof/>
          <w:sz w:val="22"/>
          <w:szCs w:val="22"/>
          <w:lang w:val="pl-PL" w:eastAsia="pl-PL"/>
        </w:rPr>
      </w:pPr>
      <w:r w:rsidRPr="007254A8">
        <w:rPr>
          <w:rFonts w:ascii="EYInterstate Light" w:hAnsi="EYInterstate Light"/>
          <w:lang w:val="pl-PL"/>
        </w:rPr>
        <w:fldChar w:fldCharType="begin"/>
      </w:r>
      <w:r w:rsidRPr="007254A8">
        <w:rPr>
          <w:rFonts w:ascii="EYInterstate Light" w:hAnsi="EYInterstate Light"/>
          <w:lang w:val="pl-PL"/>
        </w:rPr>
        <w:instrText xml:space="preserve"> TOC \h \z \c "Tabela" </w:instrText>
      </w:r>
      <w:r w:rsidRPr="007254A8">
        <w:rPr>
          <w:rFonts w:ascii="EYInterstate Light" w:hAnsi="EYInterstate Light"/>
          <w:lang w:val="pl-PL"/>
        </w:rPr>
        <w:fldChar w:fldCharType="separate"/>
      </w:r>
      <w:hyperlink w:anchor="_Toc486537964" w:history="1">
        <w:r w:rsidR="00F760DC" w:rsidRPr="00802778">
          <w:rPr>
            <w:rStyle w:val="Hipercze"/>
            <w:b/>
            <w:noProof/>
            <w:lang w:val="pl-PL"/>
          </w:rPr>
          <w:t>Tabela 1 Wielkość populacji pacjentów w zaawansowanym stadium PChN w analizowanych scenariuszach</w:t>
        </w:r>
        <w:r w:rsidR="00F760DC">
          <w:rPr>
            <w:noProof/>
            <w:webHidden/>
          </w:rPr>
          <w:tab/>
        </w:r>
        <w:r w:rsidR="00F760DC">
          <w:rPr>
            <w:noProof/>
            <w:webHidden/>
          </w:rPr>
          <w:fldChar w:fldCharType="begin"/>
        </w:r>
        <w:r w:rsidR="00F760DC">
          <w:rPr>
            <w:noProof/>
            <w:webHidden/>
          </w:rPr>
          <w:instrText xml:space="preserve"> PAGEREF _Toc486537964 \h </w:instrText>
        </w:r>
        <w:r w:rsidR="00F760DC">
          <w:rPr>
            <w:noProof/>
            <w:webHidden/>
          </w:rPr>
        </w:r>
        <w:r w:rsidR="00F760DC">
          <w:rPr>
            <w:noProof/>
            <w:webHidden/>
          </w:rPr>
          <w:fldChar w:fldCharType="separate"/>
        </w:r>
        <w:r w:rsidR="005C7285">
          <w:rPr>
            <w:noProof/>
            <w:webHidden/>
          </w:rPr>
          <w:t>8</w:t>
        </w:r>
        <w:r w:rsidR="00F760DC">
          <w:rPr>
            <w:noProof/>
            <w:webHidden/>
          </w:rPr>
          <w:fldChar w:fldCharType="end"/>
        </w:r>
      </w:hyperlink>
    </w:p>
    <w:p w14:paraId="46129D06"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5" w:history="1">
        <w:r w:rsidR="00F760DC" w:rsidRPr="00802778">
          <w:rPr>
            <w:rStyle w:val="Hipercze"/>
            <w:b/>
            <w:noProof/>
            <w:lang w:val="pl-PL"/>
          </w:rPr>
          <w:t>Tabela 2 Kryteria rozpoznania przewlekłej choroby nerek wg KDIGO 2012</w:t>
        </w:r>
        <w:r w:rsidR="00F760DC">
          <w:rPr>
            <w:noProof/>
            <w:webHidden/>
          </w:rPr>
          <w:tab/>
        </w:r>
        <w:r w:rsidR="00F760DC">
          <w:rPr>
            <w:noProof/>
            <w:webHidden/>
          </w:rPr>
          <w:fldChar w:fldCharType="begin"/>
        </w:r>
        <w:r w:rsidR="00F760DC">
          <w:rPr>
            <w:noProof/>
            <w:webHidden/>
          </w:rPr>
          <w:instrText xml:space="preserve"> PAGEREF _Toc486537965 \h </w:instrText>
        </w:r>
        <w:r w:rsidR="00F760DC">
          <w:rPr>
            <w:noProof/>
            <w:webHidden/>
          </w:rPr>
        </w:r>
        <w:r w:rsidR="00F760DC">
          <w:rPr>
            <w:noProof/>
            <w:webHidden/>
          </w:rPr>
          <w:fldChar w:fldCharType="separate"/>
        </w:r>
        <w:r w:rsidR="005C7285">
          <w:rPr>
            <w:noProof/>
            <w:webHidden/>
          </w:rPr>
          <w:t>12</w:t>
        </w:r>
        <w:r w:rsidR="00F760DC">
          <w:rPr>
            <w:noProof/>
            <w:webHidden/>
          </w:rPr>
          <w:fldChar w:fldCharType="end"/>
        </w:r>
      </w:hyperlink>
    </w:p>
    <w:p w14:paraId="531EB89C"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6" w:history="1">
        <w:r w:rsidR="00F760DC" w:rsidRPr="00802778">
          <w:rPr>
            <w:rStyle w:val="Hipercze"/>
            <w:b/>
            <w:noProof/>
            <w:lang w:val="pl-PL"/>
          </w:rPr>
          <w:t>Tabela 3 Kategorie GFR i albuminurii służące klasyfikacji pacjentów z PChN</w:t>
        </w:r>
        <w:r w:rsidR="00F760DC">
          <w:rPr>
            <w:noProof/>
            <w:webHidden/>
          </w:rPr>
          <w:tab/>
        </w:r>
        <w:r w:rsidR="00F760DC">
          <w:rPr>
            <w:noProof/>
            <w:webHidden/>
          </w:rPr>
          <w:fldChar w:fldCharType="begin"/>
        </w:r>
        <w:r w:rsidR="00F760DC">
          <w:rPr>
            <w:noProof/>
            <w:webHidden/>
          </w:rPr>
          <w:instrText xml:space="preserve"> PAGEREF _Toc486537966 \h </w:instrText>
        </w:r>
        <w:r w:rsidR="00F760DC">
          <w:rPr>
            <w:noProof/>
            <w:webHidden/>
          </w:rPr>
        </w:r>
        <w:r w:rsidR="00F760DC">
          <w:rPr>
            <w:noProof/>
            <w:webHidden/>
          </w:rPr>
          <w:fldChar w:fldCharType="separate"/>
        </w:r>
        <w:r w:rsidR="005C7285">
          <w:rPr>
            <w:noProof/>
            <w:webHidden/>
          </w:rPr>
          <w:t>14</w:t>
        </w:r>
        <w:r w:rsidR="00F760DC">
          <w:rPr>
            <w:noProof/>
            <w:webHidden/>
          </w:rPr>
          <w:fldChar w:fldCharType="end"/>
        </w:r>
      </w:hyperlink>
    </w:p>
    <w:p w14:paraId="5C9D12CF"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7" w:history="1">
        <w:r w:rsidR="00F760DC" w:rsidRPr="00802778">
          <w:rPr>
            <w:rStyle w:val="Hipercze"/>
            <w:b/>
            <w:noProof/>
            <w:lang w:val="pl-PL"/>
          </w:rPr>
          <w:t>Tabela 4 Ryzyko zachorowania na PChN w zależności od przynależności do kategorii G i A wg KDIGO 2012</w:t>
        </w:r>
        <w:r w:rsidR="00F760DC">
          <w:rPr>
            <w:noProof/>
            <w:webHidden/>
          </w:rPr>
          <w:tab/>
        </w:r>
        <w:r w:rsidR="00F760DC">
          <w:rPr>
            <w:noProof/>
            <w:webHidden/>
          </w:rPr>
          <w:fldChar w:fldCharType="begin"/>
        </w:r>
        <w:r w:rsidR="00F760DC">
          <w:rPr>
            <w:noProof/>
            <w:webHidden/>
          </w:rPr>
          <w:instrText xml:space="preserve"> PAGEREF _Toc486537967 \h </w:instrText>
        </w:r>
        <w:r w:rsidR="00F760DC">
          <w:rPr>
            <w:noProof/>
            <w:webHidden/>
          </w:rPr>
        </w:r>
        <w:r w:rsidR="00F760DC">
          <w:rPr>
            <w:noProof/>
            <w:webHidden/>
          </w:rPr>
          <w:fldChar w:fldCharType="separate"/>
        </w:r>
        <w:r w:rsidR="005C7285">
          <w:rPr>
            <w:noProof/>
            <w:webHidden/>
          </w:rPr>
          <w:t>14</w:t>
        </w:r>
        <w:r w:rsidR="00F760DC">
          <w:rPr>
            <w:noProof/>
            <w:webHidden/>
          </w:rPr>
          <w:fldChar w:fldCharType="end"/>
        </w:r>
      </w:hyperlink>
    </w:p>
    <w:p w14:paraId="10E77CBF"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8" w:history="1">
        <w:r w:rsidR="00F760DC" w:rsidRPr="00802778">
          <w:rPr>
            <w:rStyle w:val="Hipercze"/>
            <w:b/>
            <w:noProof/>
            <w:lang w:val="pl-PL"/>
          </w:rPr>
          <w:t>Tabela 5 Czynniki przyspieszające postęp PChN</w:t>
        </w:r>
        <w:r w:rsidR="00F760DC">
          <w:rPr>
            <w:noProof/>
            <w:webHidden/>
          </w:rPr>
          <w:tab/>
        </w:r>
        <w:r w:rsidR="00F760DC">
          <w:rPr>
            <w:noProof/>
            <w:webHidden/>
          </w:rPr>
          <w:fldChar w:fldCharType="begin"/>
        </w:r>
        <w:r w:rsidR="00F760DC">
          <w:rPr>
            <w:noProof/>
            <w:webHidden/>
          </w:rPr>
          <w:instrText xml:space="preserve"> PAGEREF _Toc486537968 \h </w:instrText>
        </w:r>
        <w:r w:rsidR="00F760DC">
          <w:rPr>
            <w:noProof/>
            <w:webHidden/>
          </w:rPr>
        </w:r>
        <w:r w:rsidR="00F760DC">
          <w:rPr>
            <w:noProof/>
            <w:webHidden/>
          </w:rPr>
          <w:fldChar w:fldCharType="separate"/>
        </w:r>
        <w:r w:rsidR="005C7285">
          <w:rPr>
            <w:noProof/>
            <w:webHidden/>
          </w:rPr>
          <w:t>16</w:t>
        </w:r>
        <w:r w:rsidR="00F760DC">
          <w:rPr>
            <w:noProof/>
            <w:webHidden/>
          </w:rPr>
          <w:fldChar w:fldCharType="end"/>
        </w:r>
      </w:hyperlink>
    </w:p>
    <w:p w14:paraId="1BA9744B"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69" w:history="1">
        <w:r w:rsidR="00F760DC" w:rsidRPr="00802778">
          <w:rPr>
            <w:rStyle w:val="Hipercze"/>
            <w:b/>
            <w:noProof/>
            <w:lang w:val="pl-PL"/>
          </w:rPr>
          <w:t>Tabela 6 Zalecenia KDIGO 2012 w zakresie częstości monitorowania postępu choroby w zależności od przynależności do kategorii G i A</w:t>
        </w:r>
        <w:r w:rsidR="00F760DC">
          <w:rPr>
            <w:noProof/>
            <w:webHidden/>
          </w:rPr>
          <w:tab/>
        </w:r>
        <w:r w:rsidR="00F760DC">
          <w:rPr>
            <w:noProof/>
            <w:webHidden/>
          </w:rPr>
          <w:fldChar w:fldCharType="begin"/>
        </w:r>
        <w:r w:rsidR="00F760DC">
          <w:rPr>
            <w:noProof/>
            <w:webHidden/>
          </w:rPr>
          <w:instrText xml:space="preserve"> PAGEREF _Toc486537969 \h </w:instrText>
        </w:r>
        <w:r w:rsidR="00F760DC">
          <w:rPr>
            <w:noProof/>
            <w:webHidden/>
          </w:rPr>
        </w:r>
        <w:r w:rsidR="00F760DC">
          <w:rPr>
            <w:noProof/>
            <w:webHidden/>
          </w:rPr>
          <w:fldChar w:fldCharType="separate"/>
        </w:r>
        <w:r w:rsidR="005C7285">
          <w:rPr>
            <w:noProof/>
            <w:webHidden/>
          </w:rPr>
          <w:t>16</w:t>
        </w:r>
        <w:r w:rsidR="00F760DC">
          <w:rPr>
            <w:noProof/>
            <w:webHidden/>
          </w:rPr>
          <w:fldChar w:fldCharType="end"/>
        </w:r>
      </w:hyperlink>
    </w:p>
    <w:p w14:paraId="4EDF30F8"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0" w:history="1">
        <w:r w:rsidR="00F760DC" w:rsidRPr="00802778">
          <w:rPr>
            <w:rStyle w:val="Hipercze"/>
            <w:b/>
            <w:noProof/>
          </w:rPr>
          <w:t>Tabela 7 Objawy kliniczne PChN</w:t>
        </w:r>
        <w:r w:rsidR="00F760DC">
          <w:rPr>
            <w:noProof/>
            <w:webHidden/>
          </w:rPr>
          <w:tab/>
        </w:r>
        <w:r w:rsidR="00F760DC">
          <w:rPr>
            <w:noProof/>
            <w:webHidden/>
          </w:rPr>
          <w:fldChar w:fldCharType="begin"/>
        </w:r>
        <w:r w:rsidR="00F760DC">
          <w:rPr>
            <w:noProof/>
            <w:webHidden/>
          </w:rPr>
          <w:instrText xml:space="preserve"> PAGEREF _Toc486537970 \h </w:instrText>
        </w:r>
        <w:r w:rsidR="00F760DC">
          <w:rPr>
            <w:noProof/>
            <w:webHidden/>
          </w:rPr>
        </w:r>
        <w:r w:rsidR="00F760DC">
          <w:rPr>
            <w:noProof/>
            <w:webHidden/>
          </w:rPr>
          <w:fldChar w:fldCharType="separate"/>
        </w:r>
        <w:r w:rsidR="005C7285">
          <w:rPr>
            <w:noProof/>
            <w:webHidden/>
          </w:rPr>
          <w:t>20</w:t>
        </w:r>
        <w:r w:rsidR="00F760DC">
          <w:rPr>
            <w:noProof/>
            <w:webHidden/>
          </w:rPr>
          <w:fldChar w:fldCharType="end"/>
        </w:r>
      </w:hyperlink>
    </w:p>
    <w:p w14:paraId="63667E1F"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1" w:history="1">
        <w:r w:rsidR="00F760DC" w:rsidRPr="00802778">
          <w:rPr>
            <w:rStyle w:val="Hipercze"/>
            <w:b/>
            <w:noProof/>
            <w:lang w:val="pl-PL"/>
          </w:rPr>
          <w:t>Tabela 8 Objawy kliniczne PChN związane ze stopniem zaawansowania choroby</w:t>
        </w:r>
        <w:r w:rsidR="00F760DC">
          <w:rPr>
            <w:noProof/>
            <w:webHidden/>
          </w:rPr>
          <w:tab/>
        </w:r>
        <w:r w:rsidR="00F760DC">
          <w:rPr>
            <w:noProof/>
            <w:webHidden/>
          </w:rPr>
          <w:fldChar w:fldCharType="begin"/>
        </w:r>
        <w:r w:rsidR="00F760DC">
          <w:rPr>
            <w:noProof/>
            <w:webHidden/>
          </w:rPr>
          <w:instrText xml:space="preserve"> PAGEREF _Toc486537971 \h </w:instrText>
        </w:r>
        <w:r w:rsidR="00F760DC">
          <w:rPr>
            <w:noProof/>
            <w:webHidden/>
          </w:rPr>
        </w:r>
        <w:r w:rsidR="00F760DC">
          <w:rPr>
            <w:noProof/>
            <w:webHidden/>
          </w:rPr>
          <w:fldChar w:fldCharType="separate"/>
        </w:r>
        <w:r w:rsidR="005C7285">
          <w:rPr>
            <w:noProof/>
            <w:webHidden/>
          </w:rPr>
          <w:t>21</w:t>
        </w:r>
        <w:r w:rsidR="00F760DC">
          <w:rPr>
            <w:noProof/>
            <w:webHidden/>
          </w:rPr>
          <w:fldChar w:fldCharType="end"/>
        </w:r>
      </w:hyperlink>
    </w:p>
    <w:p w14:paraId="6E0157E8"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2" w:history="1">
        <w:r w:rsidR="00F760DC" w:rsidRPr="00802778">
          <w:rPr>
            <w:rStyle w:val="Hipercze"/>
            <w:b/>
            <w:noProof/>
            <w:lang w:val="pl-PL"/>
          </w:rPr>
          <w:t>Tabela 9 Chorobowość według stadium zaawansowania PChN w Polsce na podstawie globalnych wskaźników</w:t>
        </w:r>
        <w:r w:rsidR="00F760DC">
          <w:rPr>
            <w:noProof/>
            <w:webHidden/>
          </w:rPr>
          <w:tab/>
        </w:r>
        <w:r w:rsidR="00F760DC">
          <w:rPr>
            <w:noProof/>
            <w:webHidden/>
          </w:rPr>
          <w:fldChar w:fldCharType="begin"/>
        </w:r>
        <w:r w:rsidR="00F760DC">
          <w:rPr>
            <w:noProof/>
            <w:webHidden/>
          </w:rPr>
          <w:instrText xml:space="preserve"> PAGEREF _Toc486537972 \h </w:instrText>
        </w:r>
        <w:r w:rsidR="00F760DC">
          <w:rPr>
            <w:noProof/>
            <w:webHidden/>
          </w:rPr>
        </w:r>
        <w:r w:rsidR="00F760DC">
          <w:rPr>
            <w:noProof/>
            <w:webHidden/>
          </w:rPr>
          <w:fldChar w:fldCharType="separate"/>
        </w:r>
        <w:r w:rsidR="005C7285">
          <w:rPr>
            <w:noProof/>
            <w:webHidden/>
          </w:rPr>
          <w:t>25</w:t>
        </w:r>
        <w:r w:rsidR="00F760DC">
          <w:rPr>
            <w:noProof/>
            <w:webHidden/>
          </w:rPr>
          <w:fldChar w:fldCharType="end"/>
        </w:r>
      </w:hyperlink>
    </w:p>
    <w:p w14:paraId="449647A8"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3" w:history="1">
        <w:r w:rsidR="00F760DC" w:rsidRPr="00802778">
          <w:rPr>
            <w:rStyle w:val="Hipercze"/>
            <w:b/>
            <w:noProof/>
            <w:lang w:val="pl-PL"/>
          </w:rPr>
          <w:t>Tabela 10 Liczba pacjentów z rozpoznaniem PChN (N18, N18.0, N18.8, N18.9, N19), którzy skorzystali przynajmniej jeden raz ze świadczeń zdrowotnych w danym roku</w:t>
        </w:r>
        <w:r w:rsidR="00F760DC">
          <w:rPr>
            <w:noProof/>
            <w:webHidden/>
          </w:rPr>
          <w:tab/>
        </w:r>
        <w:r w:rsidR="00F760DC">
          <w:rPr>
            <w:noProof/>
            <w:webHidden/>
          </w:rPr>
          <w:fldChar w:fldCharType="begin"/>
        </w:r>
        <w:r w:rsidR="00F760DC">
          <w:rPr>
            <w:noProof/>
            <w:webHidden/>
          </w:rPr>
          <w:instrText xml:space="preserve"> PAGEREF _Toc486537973 \h </w:instrText>
        </w:r>
        <w:r w:rsidR="00F760DC">
          <w:rPr>
            <w:noProof/>
            <w:webHidden/>
          </w:rPr>
        </w:r>
        <w:r w:rsidR="00F760DC">
          <w:rPr>
            <w:noProof/>
            <w:webHidden/>
          </w:rPr>
          <w:fldChar w:fldCharType="separate"/>
        </w:r>
        <w:r w:rsidR="005C7285">
          <w:rPr>
            <w:noProof/>
            <w:webHidden/>
          </w:rPr>
          <w:t>26</w:t>
        </w:r>
        <w:r w:rsidR="00F760DC">
          <w:rPr>
            <w:noProof/>
            <w:webHidden/>
          </w:rPr>
          <w:fldChar w:fldCharType="end"/>
        </w:r>
      </w:hyperlink>
    </w:p>
    <w:p w14:paraId="5447D2EB"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4" w:history="1">
        <w:r w:rsidR="00F760DC" w:rsidRPr="00802778">
          <w:rPr>
            <w:rStyle w:val="Hipercze"/>
            <w:b/>
            <w:noProof/>
            <w:lang w:val="pl-PL"/>
          </w:rPr>
          <w:t>Tabela 11 Wydatki NFZ na pacjentów z rozpoznaniem PChN (N18, N18.0, N18.8, N18.9, N19) w latach 2013 - 2015</w:t>
        </w:r>
        <w:r w:rsidR="00F760DC">
          <w:rPr>
            <w:noProof/>
            <w:webHidden/>
          </w:rPr>
          <w:tab/>
        </w:r>
        <w:r w:rsidR="00F760DC">
          <w:rPr>
            <w:noProof/>
            <w:webHidden/>
          </w:rPr>
          <w:fldChar w:fldCharType="begin"/>
        </w:r>
        <w:r w:rsidR="00F760DC">
          <w:rPr>
            <w:noProof/>
            <w:webHidden/>
          </w:rPr>
          <w:instrText xml:space="preserve"> PAGEREF _Toc486537974 \h </w:instrText>
        </w:r>
        <w:r w:rsidR="00F760DC">
          <w:rPr>
            <w:noProof/>
            <w:webHidden/>
          </w:rPr>
        </w:r>
        <w:r w:rsidR="00F760DC">
          <w:rPr>
            <w:noProof/>
            <w:webHidden/>
          </w:rPr>
          <w:fldChar w:fldCharType="separate"/>
        </w:r>
        <w:r w:rsidR="005C7285">
          <w:rPr>
            <w:noProof/>
            <w:webHidden/>
          </w:rPr>
          <w:t>26</w:t>
        </w:r>
        <w:r w:rsidR="00F760DC">
          <w:rPr>
            <w:noProof/>
            <w:webHidden/>
          </w:rPr>
          <w:fldChar w:fldCharType="end"/>
        </w:r>
      </w:hyperlink>
    </w:p>
    <w:p w14:paraId="627367DF"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5" w:history="1">
        <w:r w:rsidR="00F760DC" w:rsidRPr="00802778">
          <w:rPr>
            <w:rStyle w:val="Hipercze"/>
            <w:b/>
            <w:noProof/>
            <w:lang w:val="pl-PL"/>
          </w:rPr>
          <w:t>Tabela 12 Wydatki NFZ na pacjentów z rozpoznaniem PChN (N18, N18.0, N18.8, N18.9, N19) w 2015  w podziale  na rodzaje świadczeń</w:t>
        </w:r>
        <w:r w:rsidR="00F760DC">
          <w:rPr>
            <w:noProof/>
            <w:webHidden/>
          </w:rPr>
          <w:tab/>
        </w:r>
        <w:r w:rsidR="00F760DC">
          <w:rPr>
            <w:noProof/>
            <w:webHidden/>
          </w:rPr>
          <w:fldChar w:fldCharType="begin"/>
        </w:r>
        <w:r w:rsidR="00F760DC">
          <w:rPr>
            <w:noProof/>
            <w:webHidden/>
          </w:rPr>
          <w:instrText xml:space="preserve"> PAGEREF _Toc486537975 \h </w:instrText>
        </w:r>
        <w:r w:rsidR="00F760DC">
          <w:rPr>
            <w:noProof/>
            <w:webHidden/>
          </w:rPr>
        </w:r>
        <w:r w:rsidR="00F760DC">
          <w:rPr>
            <w:noProof/>
            <w:webHidden/>
          </w:rPr>
          <w:fldChar w:fldCharType="separate"/>
        </w:r>
        <w:r w:rsidR="005C7285">
          <w:rPr>
            <w:noProof/>
            <w:webHidden/>
          </w:rPr>
          <w:t>27</w:t>
        </w:r>
        <w:r w:rsidR="00F760DC">
          <w:rPr>
            <w:noProof/>
            <w:webHidden/>
          </w:rPr>
          <w:fldChar w:fldCharType="end"/>
        </w:r>
      </w:hyperlink>
    </w:p>
    <w:p w14:paraId="0064C270"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6" w:history="1">
        <w:r w:rsidR="00F760DC" w:rsidRPr="00802778">
          <w:rPr>
            <w:rStyle w:val="Hipercze"/>
            <w:b/>
            <w:noProof/>
            <w:lang w:val="pl-PL"/>
          </w:rPr>
          <w:t>Tabela 13 Czynniki ryzyka PChN</w:t>
        </w:r>
        <w:r w:rsidR="00F760DC">
          <w:rPr>
            <w:noProof/>
            <w:webHidden/>
          </w:rPr>
          <w:tab/>
        </w:r>
        <w:r w:rsidR="00F760DC">
          <w:rPr>
            <w:noProof/>
            <w:webHidden/>
          </w:rPr>
          <w:fldChar w:fldCharType="begin"/>
        </w:r>
        <w:r w:rsidR="00F760DC">
          <w:rPr>
            <w:noProof/>
            <w:webHidden/>
          </w:rPr>
          <w:instrText xml:space="preserve"> PAGEREF _Toc486537976 \h </w:instrText>
        </w:r>
        <w:r w:rsidR="00F760DC">
          <w:rPr>
            <w:noProof/>
            <w:webHidden/>
          </w:rPr>
        </w:r>
        <w:r w:rsidR="00F760DC">
          <w:rPr>
            <w:noProof/>
            <w:webHidden/>
          </w:rPr>
          <w:fldChar w:fldCharType="separate"/>
        </w:r>
        <w:r w:rsidR="005C7285">
          <w:rPr>
            <w:noProof/>
            <w:webHidden/>
          </w:rPr>
          <w:t>28</w:t>
        </w:r>
        <w:r w:rsidR="00F760DC">
          <w:rPr>
            <w:noProof/>
            <w:webHidden/>
          </w:rPr>
          <w:fldChar w:fldCharType="end"/>
        </w:r>
      </w:hyperlink>
    </w:p>
    <w:p w14:paraId="3483EFCC"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7" w:history="1">
        <w:r w:rsidR="00F760DC" w:rsidRPr="00802778">
          <w:rPr>
            <w:rStyle w:val="Hipercze"/>
            <w:b/>
            <w:noProof/>
            <w:lang w:val="pl-PL"/>
          </w:rPr>
          <w:t>Tabela 14 Opieka nad pacjentem z PChN w Polsce w podziale na trzy poziomy profilaktyki</w:t>
        </w:r>
        <w:r w:rsidR="00F760DC">
          <w:rPr>
            <w:noProof/>
            <w:webHidden/>
          </w:rPr>
          <w:tab/>
        </w:r>
        <w:r w:rsidR="00F760DC">
          <w:rPr>
            <w:noProof/>
            <w:webHidden/>
          </w:rPr>
          <w:fldChar w:fldCharType="begin"/>
        </w:r>
        <w:r w:rsidR="00F760DC">
          <w:rPr>
            <w:noProof/>
            <w:webHidden/>
          </w:rPr>
          <w:instrText xml:space="preserve"> PAGEREF _Toc486537977 \h </w:instrText>
        </w:r>
        <w:r w:rsidR="00F760DC">
          <w:rPr>
            <w:noProof/>
            <w:webHidden/>
          </w:rPr>
        </w:r>
        <w:r w:rsidR="00F760DC">
          <w:rPr>
            <w:noProof/>
            <w:webHidden/>
          </w:rPr>
          <w:fldChar w:fldCharType="separate"/>
        </w:r>
        <w:r w:rsidR="005C7285">
          <w:rPr>
            <w:noProof/>
            <w:webHidden/>
          </w:rPr>
          <w:t>36</w:t>
        </w:r>
        <w:r w:rsidR="00F760DC">
          <w:rPr>
            <w:noProof/>
            <w:webHidden/>
          </w:rPr>
          <w:fldChar w:fldCharType="end"/>
        </w:r>
      </w:hyperlink>
    </w:p>
    <w:p w14:paraId="449325ED"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8" w:history="1">
        <w:r w:rsidR="00F760DC" w:rsidRPr="00802778">
          <w:rPr>
            <w:rStyle w:val="Hipercze"/>
            <w:b/>
            <w:noProof/>
            <w:lang w:val="pl-PL"/>
          </w:rPr>
          <w:t>Tabela 15 Poradnie nefrologiczne w Polsce</w:t>
        </w:r>
        <w:r w:rsidR="00F760DC">
          <w:rPr>
            <w:noProof/>
            <w:webHidden/>
          </w:rPr>
          <w:tab/>
        </w:r>
        <w:r w:rsidR="00F760DC">
          <w:rPr>
            <w:noProof/>
            <w:webHidden/>
          </w:rPr>
          <w:fldChar w:fldCharType="begin"/>
        </w:r>
        <w:r w:rsidR="00F760DC">
          <w:rPr>
            <w:noProof/>
            <w:webHidden/>
          </w:rPr>
          <w:instrText xml:space="preserve"> PAGEREF _Toc486537978 \h </w:instrText>
        </w:r>
        <w:r w:rsidR="00F760DC">
          <w:rPr>
            <w:noProof/>
            <w:webHidden/>
          </w:rPr>
        </w:r>
        <w:r w:rsidR="00F760DC">
          <w:rPr>
            <w:noProof/>
            <w:webHidden/>
          </w:rPr>
          <w:fldChar w:fldCharType="separate"/>
        </w:r>
        <w:r w:rsidR="005C7285">
          <w:rPr>
            <w:noProof/>
            <w:webHidden/>
          </w:rPr>
          <w:t>42</w:t>
        </w:r>
        <w:r w:rsidR="00F760DC">
          <w:rPr>
            <w:noProof/>
            <w:webHidden/>
          </w:rPr>
          <w:fldChar w:fldCharType="end"/>
        </w:r>
      </w:hyperlink>
    </w:p>
    <w:p w14:paraId="5C22BB87"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79" w:history="1">
        <w:r w:rsidR="00F760DC" w:rsidRPr="00802778">
          <w:rPr>
            <w:rStyle w:val="Hipercze"/>
            <w:b/>
            <w:noProof/>
            <w:lang w:val="pl-PL"/>
          </w:rPr>
          <w:t>Tabela 16 Stacje dializ publiczne vs. niepubliczne (2015 r.)</w:t>
        </w:r>
        <w:r w:rsidR="00F760DC">
          <w:rPr>
            <w:noProof/>
            <w:webHidden/>
          </w:rPr>
          <w:tab/>
        </w:r>
        <w:r w:rsidR="00F760DC">
          <w:rPr>
            <w:noProof/>
            <w:webHidden/>
          </w:rPr>
          <w:fldChar w:fldCharType="begin"/>
        </w:r>
        <w:r w:rsidR="00F760DC">
          <w:rPr>
            <w:noProof/>
            <w:webHidden/>
          </w:rPr>
          <w:instrText xml:space="preserve"> PAGEREF _Toc486537979 \h </w:instrText>
        </w:r>
        <w:r w:rsidR="00F760DC">
          <w:rPr>
            <w:noProof/>
            <w:webHidden/>
          </w:rPr>
        </w:r>
        <w:r w:rsidR="00F760DC">
          <w:rPr>
            <w:noProof/>
            <w:webHidden/>
          </w:rPr>
          <w:fldChar w:fldCharType="separate"/>
        </w:r>
        <w:r w:rsidR="005C7285">
          <w:rPr>
            <w:noProof/>
            <w:webHidden/>
          </w:rPr>
          <w:t>43</w:t>
        </w:r>
        <w:r w:rsidR="00F760DC">
          <w:rPr>
            <w:noProof/>
            <w:webHidden/>
          </w:rPr>
          <w:fldChar w:fldCharType="end"/>
        </w:r>
      </w:hyperlink>
    </w:p>
    <w:p w14:paraId="3B81205B"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0" w:history="1">
        <w:r w:rsidR="00F760DC" w:rsidRPr="00802778">
          <w:rPr>
            <w:rStyle w:val="Hipercze"/>
            <w:b/>
            <w:noProof/>
            <w:lang w:val="pl-PL"/>
          </w:rPr>
          <w:t>Tabela 17 Zakres odpowiedzialności w aktualnym, proponowanym i docelowym modelu opieki nad pacjentem dializowanym w jednostce koordynującej</w:t>
        </w:r>
        <w:r w:rsidR="00F760DC">
          <w:rPr>
            <w:noProof/>
            <w:webHidden/>
          </w:rPr>
          <w:tab/>
        </w:r>
        <w:r w:rsidR="00F760DC">
          <w:rPr>
            <w:noProof/>
            <w:webHidden/>
          </w:rPr>
          <w:fldChar w:fldCharType="begin"/>
        </w:r>
        <w:r w:rsidR="00F760DC">
          <w:rPr>
            <w:noProof/>
            <w:webHidden/>
          </w:rPr>
          <w:instrText xml:space="preserve"> PAGEREF _Toc486537980 \h </w:instrText>
        </w:r>
        <w:r w:rsidR="00F760DC">
          <w:rPr>
            <w:noProof/>
            <w:webHidden/>
          </w:rPr>
        </w:r>
        <w:r w:rsidR="00F760DC">
          <w:rPr>
            <w:noProof/>
            <w:webHidden/>
          </w:rPr>
          <w:fldChar w:fldCharType="separate"/>
        </w:r>
        <w:r w:rsidR="005C7285">
          <w:rPr>
            <w:noProof/>
            <w:webHidden/>
          </w:rPr>
          <w:t>46</w:t>
        </w:r>
        <w:r w:rsidR="00F760DC">
          <w:rPr>
            <w:noProof/>
            <w:webHidden/>
          </w:rPr>
          <w:fldChar w:fldCharType="end"/>
        </w:r>
      </w:hyperlink>
    </w:p>
    <w:p w14:paraId="63C315A1"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1" w:history="1">
        <w:r w:rsidR="00F760DC" w:rsidRPr="00802778">
          <w:rPr>
            <w:rStyle w:val="Hipercze"/>
            <w:b/>
            <w:noProof/>
            <w:lang w:val="pl-PL"/>
          </w:rPr>
          <w:t>Tabela 18 Kryteria kwalifikacji do objęcia opieką przez jednostki koordynujące pacjentów przed dializą</w:t>
        </w:r>
        <w:r w:rsidR="00F760DC">
          <w:rPr>
            <w:noProof/>
            <w:webHidden/>
          </w:rPr>
          <w:tab/>
        </w:r>
        <w:r w:rsidR="00F760DC">
          <w:rPr>
            <w:noProof/>
            <w:webHidden/>
          </w:rPr>
          <w:fldChar w:fldCharType="begin"/>
        </w:r>
        <w:r w:rsidR="00F760DC">
          <w:rPr>
            <w:noProof/>
            <w:webHidden/>
          </w:rPr>
          <w:instrText xml:space="preserve"> PAGEREF _Toc486537981 \h </w:instrText>
        </w:r>
        <w:r w:rsidR="00F760DC">
          <w:rPr>
            <w:noProof/>
            <w:webHidden/>
          </w:rPr>
        </w:r>
        <w:r w:rsidR="00F760DC">
          <w:rPr>
            <w:noProof/>
            <w:webHidden/>
          </w:rPr>
          <w:fldChar w:fldCharType="separate"/>
        </w:r>
        <w:r w:rsidR="005C7285">
          <w:rPr>
            <w:noProof/>
            <w:webHidden/>
          </w:rPr>
          <w:t>51</w:t>
        </w:r>
        <w:r w:rsidR="00F760DC">
          <w:rPr>
            <w:noProof/>
            <w:webHidden/>
          </w:rPr>
          <w:fldChar w:fldCharType="end"/>
        </w:r>
      </w:hyperlink>
    </w:p>
    <w:p w14:paraId="4E21A1C5"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2" w:history="1">
        <w:r w:rsidR="00F760DC" w:rsidRPr="00802778">
          <w:rPr>
            <w:rStyle w:val="Hipercze"/>
            <w:b/>
            <w:noProof/>
            <w:lang w:val="pl-PL"/>
          </w:rPr>
          <w:t>Tabela 19 Zakres odpowiedzialności w aktualnym, proponowanym i docelowym modelu opieki nad pacjentem w zaawansowanym stadium PChN przed dializą w jednostce koordynującej</w:t>
        </w:r>
        <w:r w:rsidR="00F760DC">
          <w:rPr>
            <w:noProof/>
            <w:webHidden/>
          </w:rPr>
          <w:tab/>
        </w:r>
        <w:r w:rsidR="00F760DC">
          <w:rPr>
            <w:noProof/>
            <w:webHidden/>
          </w:rPr>
          <w:fldChar w:fldCharType="begin"/>
        </w:r>
        <w:r w:rsidR="00F760DC">
          <w:rPr>
            <w:noProof/>
            <w:webHidden/>
          </w:rPr>
          <w:instrText xml:space="preserve"> PAGEREF _Toc486537982 \h </w:instrText>
        </w:r>
        <w:r w:rsidR="00F760DC">
          <w:rPr>
            <w:noProof/>
            <w:webHidden/>
          </w:rPr>
        </w:r>
        <w:r w:rsidR="00F760DC">
          <w:rPr>
            <w:noProof/>
            <w:webHidden/>
          </w:rPr>
          <w:fldChar w:fldCharType="separate"/>
        </w:r>
        <w:r w:rsidR="005C7285">
          <w:rPr>
            <w:noProof/>
            <w:webHidden/>
          </w:rPr>
          <w:t>52</w:t>
        </w:r>
        <w:r w:rsidR="00F760DC">
          <w:rPr>
            <w:noProof/>
            <w:webHidden/>
          </w:rPr>
          <w:fldChar w:fldCharType="end"/>
        </w:r>
      </w:hyperlink>
    </w:p>
    <w:p w14:paraId="7B47EC10"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3" w:history="1">
        <w:r w:rsidR="00F760DC" w:rsidRPr="00802778">
          <w:rPr>
            <w:rStyle w:val="Hipercze"/>
            <w:b/>
            <w:noProof/>
            <w:lang w:val="pl-PL"/>
          </w:rPr>
          <w:t>Tabela 20 Propozycja oczekiwanych wartości dla poszczególnych wskaźników w zdefiniowanych odsetkach populacji</w:t>
        </w:r>
        <w:r w:rsidR="00F760DC">
          <w:rPr>
            <w:noProof/>
            <w:webHidden/>
          </w:rPr>
          <w:tab/>
        </w:r>
        <w:r w:rsidR="00F760DC">
          <w:rPr>
            <w:noProof/>
            <w:webHidden/>
          </w:rPr>
          <w:fldChar w:fldCharType="begin"/>
        </w:r>
        <w:r w:rsidR="00F760DC">
          <w:rPr>
            <w:noProof/>
            <w:webHidden/>
          </w:rPr>
          <w:instrText xml:space="preserve"> PAGEREF _Toc486537983 \h </w:instrText>
        </w:r>
        <w:r w:rsidR="00F760DC">
          <w:rPr>
            <w:noProof/>
            <w:webHidden/>
          </w:rPr>
        </w:r>
        <w:r w:rsidR="00F760DC">
          <w:rPr>
            <w:noProof/>
            <w:webHidden/>
          </w:rPr>
          <w:fldChar w:fldCharType="separate"/>
        </w:r>
        <w:r w:rsidR="005C7285">
          <w:rPr>
            <w:noProof/>
            <w:webHidden/>
          </w:rPr>
          <w:t>56</w:t>
        </w:r>
        <w:r w:rsidR="00F760DC">
          <w:rPr>
            <w:noProof/>
            <w:webHidden/>
          </w:rPr>
          <w:fldChar w:fldCharType="end"/>
        </w:r>
      </w:hyperlink>
    </w:p>
    <w:p w14:paraId="1138186D"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4" w:history="1">
        <w:r w:rsidR="00F760DC" w:rsidRPr="00802778">
          <w:rPr>
            <w:rStyle w:val="Hipercze"/>
            <w:b/>
            <w:noProof/>
            <w:lang w:val="pl-PL"/>
          </w:rPr>
          <w:t>Tabela 21 Proponowana liczba porad nefrologicznych w roku w poszczególnych stadiach zaawansowania PChN</w:t>
        </w:r>
        <w:r w:rsidR="00F760DC">
          <w:rPr>
            <w:noProof/>
            <w:webHidden/>
          </w:rPr>
          <w:tab/>
        </w:r>
        <w:r w:rsidR="00F760DC">
          <w:rPr>
            <w:noProof/>
            <w:webHidden/>
          </w:rPr>
          <w:fldChar w:fldCharType="begin"/>
        </w:r>
        <w:r w:rsidR="00F760DC">
          <w:rPr>
            <w:noProof/>
            <w:webHidden/>
          </w:rPr>
          <w:instrText xml:space="preserve"> PAGEREF _Toc486537984 \h </w:instrText>
        </w:r>
        <w:r w:rsidR="00F760DC">
          <w:rPr>
            <w:noProof/>
            <w:webHidden/>
          </w:rPr>
        </w:r>
        <w:r w:rsidR="00F760DC">
          <w:rPr>
            <w:noProof/>
            <w:webHidden/>
          </w:rPr>
          <w:fldChar w:fldCharType="separate"/>
        </w:r>
        <w:r w:rsidR="005C7285">
          <w:rPr>
            <w:noProof/>
            <w:webHidden/>
          </w:rPr>
          <w:t>65</w:t>
        </w:r>
        <w:r w:rsidR="00F760DC">
          <w:rPr>
            <w:noProof/>
            <w:webHidden/>
          </w:rPr>
          <w:fldChar w:fldCharType="end"/>
        </w:r>
      </w:hyperlink>
    </w:p>
    <w:p w14:paraId="300DD5C1"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5" w:history="1">
        <w:r w:rsidR="00F760DC" w:rsidRPr="00802778">
          <w:rPr>
            <w:rStyle w:val="Hipercze"/>
            <w:b/>
            <w:noProof/>
            <w:lang w:val="pl-PL"/>
          </w:rPr>
          <w:t>Tabela 22 Proponowana liczba świadczeń uzupełniających w roku w poszczególnych stadiach zaawansowania PChN</w:t>
        </w:r>
        <w:r w:rsidR="00F760DC">
          <w:rPr>
            <w:noProof/>
            <w:webHidden/>
          </w:rPr>
          <w:tab/>
        </w:r>
        <w:r w:rsidR="00F760DC">
          <w:rPr>
            <w:noProof/>
            <w:webHidden/>
          </w:rPr>
          <w:fldChar w:fldCharType="begin"/>
        </w:r>
        <w:r w:rsidR="00F760DC">
          <w:rPr>
            <w:noProof/>
            <w:webHidden/>
          </w:rPr>
          <w:instrText xml:space="preserve"> PAGEREF _Toc486537985 \h </w:instrText>
        </w:r>
        <w:r w:rsidR="00F760DC">
          <w:rPr>
            <w:noProof/>
            <w:webHidden/>
          </w:rPr>
        </w:r>
        <w:r w:rsidR="00F760DC">
          <w:rPr>
            <w:noProof/>
            <w:webHidden/>
          </w:rPr>
          <w:fldChar w:fldCharType="separate"/>
        </w:r>
        <w:r w:rsidR="005C7285">
          <w:rPr>
            <w:noProof/>
            <w:webHidden/>
          </w:rPr>
          <w:t>65</w:t>
        </w:r>
        <w:r w:rsidR="00F760DC">
          <w:rPr>
            <w:noProof/>
            <w:webHidden/>
          </w:rPr>
          <w:fldChar w:fldCharType="end"/>
        </w:r>
      </w:hyperlink>
    </w:p>
    <w:p w14:paraId="1DCE23E2"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6" w:history="1">
        <w:r w:rsidR="00F760DC" w:rsidRPr="00802778">
          <w:rPr>
            <w:rStyle w:val="Hipercze"/>
            <w:b/>
            <w:noProof/>
            <w:lang w:val="pl-PL"/>
          </w:rPr>
          <w:t>Tabela 23</w:t>
        </w:r>
        <w:r w:rsidR="00F760DC" w:rsidRPr="00802778">
          <w:rPr>
            <w:rStyle w:val="Hipercze"/>
            <w:noProof/>
            <w:lang w:val="pl-PL"/>
          </w:rPr>
          <w:t xml:space="preserve"> </w:t>
        </w:r>
        <w:r w:rsidR="00F760DC" w:rsidRPr="00802778">
          <w:rPr>
            <w:rStyle w:val="Hipercze"/>
            <w:b/>
            <w:noProof/>
            <w:lang w:val="pl-PL"/>
          </w:rPr>
          <w:t>Roczny koszt opieki w aktualnym i proponowanym modelu opieki nad pacjentem dializowanym</w:t>
        </w:r>
        <w:r w:rsidR="00F760DC">
          <w:rPr>
            <w:noProof/>
            <w:webHidden/>
          </w:rPr>
          <w:tab/>
        </w:r>
        <w:r w:rsidR="00F760DC">
          <w:rPr>
            <w:noProof/>
            <w:webHidden/>
          </w:rPr>
          <w:fldChar w:fldCharType="begin"/>
        </w:r>
        <w:r w:rsidR="00F760DC">
          <w:rPr>
            <w:noProof/>
            <w:webHidden/>
          </w:rPr>
          <w:instrText xml:space="preserve"> PAGEREF _Toc486537986 \h </w:instrText>
        </w:r>
        <w:r w:rsidR="00F760DC">
          <w:rPr>
            <w:noProof/>
            <w:webHidden/>
          </w:rPr>
        </w:r>
        <w:r w:rsidR="00F760DC">
          <w:rPr>
            <w:noProof/>
            <w:webHidden/>
          </w:rPr>
          <w:fldChar w:fldCharType="separate"/>
        </w:r>
        <w:r w:rsidR="005C7285">
          <w:rPr>
            <w:noProof/>
            <w:webHidden/>
          </w:rPr>
          <w:t>66</w:t>
        </w:r>
        <w:r w:rsidR="00F760DC">
          <w:rPr>
            <w:noProof/>
            <w:webHidden/>
          </w:rPr>
          <w:fldChar w:fldCharType="end"/>
        </w:r>
      </w:hyperlink>
    </w:p>
    <w:p w14:paraId="0843559E"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7" w:history="1">
        <w:r w:rsidR="00F760DC" w:rsidRPr="00802778">
          <w:rPr>
            <w:rStyle w:val="Hipercze"/>
            <w:b/>
            <w:noProof/>
            <w:lang w:val="pl-PL"/>
          </w:rPr>
          <w:t>Tabela 24 Wielkość populacji pacjentów przed dializą w analizowanych scenariuszach</w:t>
        </w:r>
        <w:r w:rsidR="00F760DC">
          <w:rPr>
            <w:noProof/>
            <w:webHidden/>
          </w:rPr>
          <w:tab/>
        </w:r>
        <w:r w:rsidR="00F760DC">
          <w:rPr>
            <w:noProof/>
            <w:webHidden/>
          </w:rPr>
          <w:fldChar w:fldCharType="begin"/>
        </w:r>
        <w:r w:rsidR="00F760DC">
          <w:rPr>
            <w:noProof/>
            <w:webHidden/>
          </w:rPr>
          <w:instrText xml:space="preserve"> PAGEREF _Toc486537987 \h </w:instrText>
        </w:r>
        <w:r w:rsidR="00F760DC">
          <w:rPr>
            <w:noProof/>
            <w:webHidden/>
          </w:rPr>
        </w:r>
        <w:r w:rsidR="00F760DC">
          <w:rPr>
            <w:noProof/>
            <w:webHidden/>
          </w:rPr>
          <w:fldChar w:fldCharType="separate"/>
        </w:r>
        <w:r w:rsidR="005C7285">
          <w:rPr>
            <w:noProof/>
            <w:webHidden/>
          </w:rPr>
          <w:t>68</w:t>
        </w:r>
        <w:r w:rsidR="00F760DC">
          <w:rPr>
            <w:noProof/>
            <w:webHidden/>
          </w:rPr>
          <w:fldChar w:fldCharType="end"/>
        </w:r>
      </w:hyperlink>
    </w:p>
    <w:p w14:paraId="1A3850F0"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8" w:history="1">
        <w:r w:rsidR="00F760DC" w:rsidRPr="00802778">
          <w:rPr>
            <w:rStyle w:val="Hipercze"/>
            <w:b/>
            <w:noProof/>
            <w:lang w:val="pl-PL"/>
          </w:rPr>
          <w:t>Tabela 25 Analiza kosztów poszczególnych modułów modelu opieki koordynowanej nad pacjentem dializowanym oraz scenariuszy populacyjnych</w:t>
        </w:r>
        <w:r w:rsidR="00F760DC">
          <w:rPr>
            <w:noProof/>
            <w:webHidden/>
          </w:rPr>
          <w:tab/>
        </w:r>
        <w:r w:rsidR="00F760DC">
          <w:rPr>
            <w:noProof/>
            <w:webHidden/>
          </w:rPr>
          <w:fldChar w:fldCharType="begin"/>
        </w:r>
        <w:r w:rsidR="00F760DC">
          <w:rPr>
            <w:noProof/>
            <w:webHidden/>
          </w:rPr>
          <w:instrText xml:space="preserve"> PAGEREF _Toc486537988 \h </w:instrText>
        </w:r>
        <w:r w:rsidR="00F760DC">
          <w:rPr>
            <w:noProof/>
            <w:webHidden/>
          </w:rPr>
        </w:r>
        <w:r w:rsidR="00F760DC">
          <w:rPr>
            <w:noProof/>
            <w:webHidden/>
          </w:rPr>
          <w:fldChar w:fldCharType="separate"/>
        </w:r>
        <w:r w:rsidR="005C7285">
          <w:rPr>
            <w:noProof/>
            <w:webHidden/>
          </w:rPr>
          <w:t>69</w:t>
        </w:r>
        <w:r w:rsidR="00F760DC">
          <w:rPr>
            <w:noProof/>
            <w:webHidden/>
          </w:rPr>
          <w:fldChar w:fldCharType="end"/>
        </w:r>
      </w:hyperlink>
    </w:p>
    <w:p w14:paraId="7D85C60D"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89" w:history="1">
        <w:r w:rsidR="00F760DC" w:rsidRPr="00802778">
          <w:rPr>
            <w:rStyle w:val="Hipercze"/>
            <w:b/>
            <w:noProof/>
            <w:lang w:val="pl-PL"/>
          </w:rPr>
          <w:t>Tabela 26 Wielkość populacji pacjentów w zaawansowanym stadium PChN w analizowanych scenariuszach</w:t>
        </w:r>
        <w:r w:rsidR="00F760DC">
          <w:rPr>
            <w:noProof/>
            <w:webHidden/>
          </w:rPr>
          <w:tab/>
        </w:r>
        <w:r w:rsidR="00F760DC">
          <w:rPr>
            <w:noProof/>
            <w:webHidden/>
          </w:rPr>
          <w:fldChar w:fldCharType="begin"/>
        </w:r>
        <w:r w:rsidR="00F760DC">
          <w:rPr>
            <w:noProof/>
            <w:webHidden/>
          </w:rPr>
          <w:instrText xml:space="preserve"> PAGEREF _Toc486537989 \h </w:instrText>
        </w:r>
        <w:r w:rsidR="00F760DC">
          <w:rPr>
            <w:noProof/>
            <w:webHidden/>
          </w:rPr>
        </w:r>
        <w:r w:rsidR="00F760DC">
          <w:rPr>
            <w:noProof/>
            <w:webHidden/>
          </w:rPr>
          <w:fldChar w:fldCharType="separate"/>
        </w:r>
        <w:r w:rsidR="005C7285">
          <w:rPr>
            <w:noProof/>
            <w:webHidden/>
          </w:rPr>
          <w:t>71</w:t>
        </w:r>
        <w:r w:rsidR="00F760DC">
          <w:rPr>
            <w:noProof/>
            <w:webHidden/>
          </w:rPr>
          <w:fldChar w:fldCharType="end"/>
        </w:r>
      </w:hyperlink>
    </w:p>
    <w:p w14:paraId="100BC9C6"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90" w:history="1">
        <w:r w:rsidR="00F760DC" w:rsidRPr="00802778">
          <w:rPr>
            <w:rStyle w:val="Hipercze"/>
            <w:b/>
            <w:noProof/>
            <w:lang w:val="pl-PL"/>
          </w:rPr>
          <w:t>Tabela 27 Koszty roczne opieki koordynowanej per pacjent w analizowanych scenariuszach z modułem A</w:t>
        </w:r>
        <w:r w:rsidR="00F760DC">
          <w:rPr>
            <w:noProof/>
            <w:webHidden/>
          </w:rPr>
          <w:tab/>
        </w:r>
        <w:r w:rsidR="00F760DC">
          <w:rPr>
            <w:noProof/>
            <w:webHidden/>
          </w:rPr>
          <w:fldChar w:fldCharType="begin"/>
        </w:r>
        <w:r w:rsidR="00F760DC">
          <w:rPr>
            <w:noProof/>
            <w:webHidden/>
          </w:rPr>
          <w:instrText xml:space="preserve"> PAGEREF _Toc486537990 \h </w:instrText>
        </w:r>
        <w:r w:rsidR="00F760DC">
          <w:rPr>
            <w:noProof/>
            <w:webHidden/>
          </w:rPr>
        </w:r>
        <w:r w:rsidR="00F760DC">
          <w:rPr>
            <w:noProof/>
            <w:webHidden/>
          </w:rPr>
          <w:fldChar w:fldCharType="separate"/>
        </w:r>
        <w:r w:rsidR="005C7285">
          <w:rPr>
            <w:noProof/>
            <w:webHidden/>
          </w:rPr>
          <w:t>72</w:t>
        </w:r>
        <w:r w:rsidR="00F760DC">
          <w:rPr>
            <w:noProof/>
            <w:webHidden/>
          </w:rPr>
          <w:fldChar w:fldCharType="end"/>
        </w:r>
      </w:hyperlink>
    </w:p>
    <w:p w14:paraId="2F487DE2" w14:textId="77777777" w:rsidR="00F760DC" w:rsidRDefault="00094076">
      <w:pPr>
        <w:pStyle w:val="Spisilustracji"/>
        <w:tabs>
          <w:tab w:val="right" w:pos="9019"/>
        </w:tabs>
        <w:rPr>
          <w:rFonts w:eastAsiaTheme="minorEastAsia" w:cstheme="minorBidi"/>
          <w:caps w:val="0"/>
          <w:noProof/>
          <w:sz w:val="22"/>
          <w:szCs w:val="22"/>
          <w:lang w:val="pl-PL" w:eastAsia="pl-PL"/>
        </w:rPr>
      </w:pPr>
      <w:hyperlink w:anchor="_Toc486537991" w:history="1">
        <w:r w:rsidR="00F760DC" w:rsidRPr="00802778">
          <w:rPr>
            <w:rStyle w:val="Hipercze"/>
            <w:b/>
            <w:noProof/>
            <w:lang w:val="pl-PL"/>
          </w:rPr>
          <w:t>Tabela 28 Koszty roczne opieki koordynowanej per pacjent w analizowanych scenariuszach z modułem AA</w:t>
        </w:r>
        <w:r w:rsidR="00F760DC">
          <w:rPr>
            <w:noProof/>
            <w:webHidden/>
          </w:rPr>
          <w:tab/>
        </w:r>
        <w:r w:rsidR="00F760DC">
          <w:rPr>
            <w:noProof/>
            <w:webHidden/>
          </w:rPr>
          <w:fldChar w:fldCharType="begin"/>
        </w:r>
        <w:r w:rsidR="00F760DC">
          <w:rPr>
            <w:noProof/>
            <w:webHidden/>
          </w:rPr>
          <w:instrText xml:space="preserve"> PAGEREF _Toc486537991 \h </w:instrText>
        </w:r>
        <w:r w:rsidR="00F760DC">
          <w:rPr>
            <w:noProof/>
            <w:webHidden/>
          </w:rPr>
        </w:r>
        <w:r w:rsidR="00F760DC">
          <w:rPr>
            <w:noProof/>
            <w:webHidden/>
          </w:rPr>
          <w:fldChar w:fldCharType="separate"/>
        </w:r>
        <w:r w:rsidR="005C7285">
          <w:rPr>
            <w:noProof/>
            <w:webHidden/>
          </w:rPr>
          <w:t>72</w:t>
        </w:r>
        <w:r w:rsidR="00F760DC">
          <w:rPr>
            <w:noProof/>
            <w:webHidden/>
          </w:rPr>
          <w:fldChar w:fldCharType="end"/>
        </w:r>
      </w:hyperlink>
    </w:p>
    <w:p w14:paraId="5E076B22" w14:textId="77777777" w:rsidR="007254A8" w:rsidRDefault="007254A8">
      <w:pPr>
        <w:widowControl/>
        <w:autoSpaceDE/>
        <w:autoSpaceDN/>
        <w:adjustRightInd/>
        <w:spacing w:before="0" w:after="0" w:line="240" w:lineRule="auto"/>
        <w:jc w:val="left"/>
        <w:rPr>
          <w:sz w:val="20"/>
          <w:lang w:val="pl-PL"/>
        </w:rPr>
      </w:pPr>
      <w:r w:rsidRPr="007254A8">
        <w:rPr>
          <w:sz w:val="20"/>
          <w:lang w:val="pl-PL"/>
        </w:rPr>
        <w:fldChar w:fldCharType="end"/>
      </w:r>
    </w:p>
    <w:p w14:paraId="5E49113F" w14:textId="6E3C31C9" w:rsidR="00625F3C" w:rsidRPr="00060165" w:rsidRDefault="00625F3C" w:rsidP="00060165">
      <w:pPr>
        <w:pStyle w:val="EYHeading2"/>
        <w:numPr>
          <w:ilvl w:val="0"/>
          <w:numId w:val="0"/>
        </w:numPr>
        <w:rPr>
          <w:rFonts w:eastAsia="Calibri"/>
          <w:color w:val="000000" w:themeColor="text1"/>
          <w:lang w:val="pl-PL"/>
        </w:rPr>
      </w:pPr>
      <w:bookmarkStart w:id="595" w:name="_Toc486537955"/>
      <w:r w:rsidRPr="00060165">
        <w:rPr>
          <w:rFonts w:eastAsia="Calibri"/>
          <w:color w:val="000000" w:themeColor="text1"/>
          <w:lang w:val="pl-PL"/>
        </w:rPr>
        <w:t>Spis wykresów</w:t>
      </w:r>
      <w:bookmarkEnd w:id="595"/>
    </w:p>
    <w:p w14:paraId="7E956794" w14:textId="77777777" w:rsidR="00F760DC" w:rsidRDefault="00625F3C">
      <w:pPr>
        <w:pStyle w:val="Spisilustracji"/>
        <w:tabs>
          <w:tab w:val="right" w:leader="dot" w:pos="9019"/>
        </w:tabs>
        <w:rPr>
          <w:rFonts w:eastAsiaTheme="minorEastAsia" w:cstheme="minorBidi"/>
          <w:caps w:val="0"/>
          <w:noProof/>
          <w:sz w:val="22"/>
          <w:szCs w:val="22"/>
          <w:lang w:val="pl-PL" w:eastAsia="pl-PL"/>
        </w:rPr>
      </w:pPr>
      <w:r>
        <w:rPr>
          <w:rFonts w:ascii="EYInterstate" w:hAnsi="EYInterstate"/>
        </w:rPr>
        <w:fldChar w:fldCharType="begin"/>
      </w:r>
      <w:r>
        <w:rPr>
          <w:rFonts w:ascii="EYInterstate" w:hAnsi="EYInterstate"/>
        </w:rPr>
        <w:instrText xml:space="preserve"> TOC \h \z \c "Wykres" </w:instrText>
      </w:r>
      <w:r>
        <w:rPr>
          <w:rFonts w:ascii="EYInterstate" w:hAnsi="EYInterstate"/>
        </w:rPr>
        <w:fldChar w:fldCharType="separate"/>
      </w:r>
      <w:hyperlink w:anchor="_Toc486537992" w:history="1">
        <w:r w:rsidR="00F760DC" w:rsidRPr="001A2971">
          <w:rPr>
            <w:rStyle w:val="Hipercze"/>
            <w:b/>
            <w:noProof/>
            <w:lang w:val="pl-PL"/>
          </w:rPr>
          <w:t>Wykres 1 Odsetek pacjentów dializowanych z dostępem naczyniowym w formie przetoki</w:t>
        </w:r>
        <w:r w:rsidR="00F760DC">
          <w:rPr>
            <w:noProof/>
            <w:webHidden/>
          </w:rPr>
          <w:tab/>
        </w:r>
        <w:r w:rsidR="00F760DC">
          <w:rPr>
            <w:noProof/>
            <w:webHidden/>
          </w:rPr>
          <w:fldChar w:fldCharType="begin"/>
        </w:r>
        <w:r w:rsidR="00F760DC">
          <w:rPr>
            <w:noProof/>
            <w:webHidden/>
          </w:rPr>
          <w:instrText xml:space="preserve"> PAGEREF _Toc486537992 \h </w:instrText>
        </w:r>
        <w:r w:rsidR="00F760DC">
          <w:rPr>
            <w:noProof/>
            <w:webHidden/>
          </w:rPr>
        </w:r>
        <w:r w:rsidR="00F760DC">
          <w:rPr>
            <w:noProof/>
            <w:webHidden/>
          </w:rPr>
          <w:fldChar w:fldCharType="separate"/>
        </w:r>
        <w:r w:rsidR="005C7285">
          <w:rPr>
            <w:noProof/>
            <w:webHidden/>
          </w:rPr>
          <w:t>41</w:t>
        </w:r>
        <w:r w:rsidR="00F760DC">
          <w:rPr>
            <w:noProof/>
            <w:webHidden/>
          </w:rPr>
          <w:fldChar w:fldCharType="end"/>
        </w:r>
      </w:hyperlink>
    </w:p>
    <w:p w14:paraId="34279998" w14:textId="77777777" w:rsidR="00625F3C" w:rsidRPr="007254A8" w:rsidRDefault="00625F3C">
      <w:pPr>
        <w:widowControl/>
        <w:autoSpaceDE/>
        <w:autoSpaceDN/>
        <w:adjustRightInd/>
        <w:spacing w:before="0" w:after="0" w:line="240" w:lineRule="auto"/>
        <w:jc w:val="left"/>
        <w:rPr>
          <w:rFonts w:ascii="EYInterstate" w:hAnsi="EYInterstate"/>
          <w:sz w:val="20"/>
        </w:rPr>
      </w:pPr>
      <w:r>
        <w:rPr>
          <w:rFonts w:ascii="EYInterstate" w:hAnsi="EYInterstate"/>
          <w:sz w:val="20"/>
        </w:rPr>
        <w:fldChar w:fldCharType="end"/>
      </w:r>
    </w:p>
    <w:p w14:paraId="5DA5CD98" w14:textId="21C26E43" w:rsidR="007254A8" w:rsidRPr="007254A8" w:rsidRDefault="007254A8">
      <w:pPr>
        <w:widowControl/>
        <w:autoSpaceDE/>
        <w:autoSpaceDN/>
        <w:adjustRightInd/>
        <w:spacing w:before="0" w:after="0" w:line="240" w:lineRule="auto"/>
        <w:jc w:val="left"/>
        <w:rPr>
          <w:rFonts w:ascii="EYInterstate" w:hAnsi="EYInterstate"/>
          <w:sz w:val="20"/>
        </w:rPr>
      </w:pPr>
    </w:p>
    <w:sectPr w:rsidR="007254A8" w:rsidRPr="007254A8" w:rsidSect="00E46CB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42033" w14:textId="77777777" w:rsidR="00094076" w:rsidRDefault="00094076">
      <w:r>
        <w:separator/>
      </w:r>
    </w:p>
    <w:p w14:paraId="3E142F13" w14:textId="77777777" w:rsidR="00094076" w:rsidRDefault="00094076"/>
    <w:p w14:paraId="275ED0FC" w14:textId="77777777" w:rsidR="00094076" w:rsidRDefault="00094076"/>
    <w:p w14:paraId="7B84084B" w14:textId="77777777" w:rsidR="00094076" w:rsidRDefault="00094076"/>
    <w:p w14:paraId="133F20A8" w14:textId="77777777" w:rsidR="00094076" w:rsidRDefault="00094076"/>
    <w:p w14:paraId="77D486CC" w14:textId="77777777" w:rsidR="00094076" w:rsidRDefault="00094076"/>
    <w:p w14:paraId="2F444209" w14:textId="77777777" w:rsidR="00094076" w:rsidRDefault="00094076"/>
  </w:endnote>
  <w:endnote w:type="continuationSeparator" w:id="0">
    <w:p w14:paraId="49EF5EEA" w14:textId="77777777" w:rsidR="00094076" w:rsidRDefault="00094076">
      <w:r>
        <w:continuationSeparator/>
      </w:r>
    </w:p>
    <w:p w14:paraId="7F19059B" w14:textId="77777777" w:rsidR="00094076" w:rsidRDefault="00094076"/>
    <w:p w14:paraId="7DF8F9E6" w14:textId="77777777" w:rsidR="00094076" w:rsidRDefault="00094076"/>
    <w:p w14:paraId="5397F0A7" w14:textId="77777777" w:rsidR="00094076" w:rsidRDefault="00094076"/>
    <w:p w14:paraId="06F81981" w14:textId="77777777" w:rsidR="00094076" w:rsidRDefault="00094076"/>
    <w:p w14:paraId="76F70D60" w14:textId="77777777" w:rsidR="00094076" w:rsidRDefault="00094076"/>
    <w:p w14:paraId="7EC91FD2" w14:textId="77777777" w:rsidR="00094076" w:rsidRDefault="00094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YInterstate Light">
    <w:altName w:val="Calibri"/>
    <w:charset w:val="EE"/>
    <w:family w:val="auto"/>
    <w:pitch w:val="variable"/>
    <w:sig w:usb0="A00002AF" w:usb1="5000206A"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YInterstate Regular">
    <w:altName w:val="Corbel"/>
    <w:charset w:val="00"/>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EYInterstate">
    <w:altName w:val="Calibri"/>
    <w:charset w:val="EE"/>
    <w:family w:val="auto"/>
    <w:pitch w:val="variable"/>
    <w:sig w:usb0="A00002AF" w:usb1="5000206A" w:usb2="00000000" w:usb3="00000000" w:csb0="0000009F" w:csb1="00000000"/>
  </w:font>
  <w:font w:name="EYInterstate-Regular">
    <w:altName w:val="Times New Roman"/>
    <w:panose1 w:val="00000000000000000000"/>
    <w:charset w:val="4D"/>
    <w:family w:val="auto"/>
    <w:notTrueType/>
    <w:pitch w:val="default"/>
    <w:sig w:usb0="00000003" w:usb1="00000000" w:usb2="00000000" w:usb3="00000000" w:csb0="00000001" w:csb1="00000000"/>
  </w:font>
  <w:font w:name="EYInterstate-Light">
    <w:altName w:val="Times New Roman"/>
    <w:panose1 w:val="00000000000000000000"/>
    <w:charset w:val="4D"/>
    <w:family w:val="auto"/>
    <w:notTrueType/>
    <w:pitch w:val="default"/>
    <w:sig w:usb0="00000003" w:usb1="00000000" w:usb2="00000000" w:usb3="00000000" w:csb0="00000001" w:csb1="00000000"/>
  </w:font>
  <w:font w:name="EYInterstate-LightItalic">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4596671"/>
      <w:docPartObj>
        <w:docPartGallery w:val="Page Numbers (Bottom of Page)"/>
        <w:docPartUnique/>
      </w:docPartObj>
    </w:sdtPr>
    <w:sdtEndPr>
      <w:rPr>
        <w:sz w:val="18"/>
        <w:szCs w:val="18"/>
      </w:rPr>
    </w:sdtEndPr>
    <w:sdtContent>
      <w:p w14:paraId="4601B828" w14:textId="77777777" w:rsidR="00AA6477" w:rsidRPr="005A6957" w:rsidRDefault="00AA6477">
        <w:pPr>
          <w:pStyle w:val="Stopka"/>
          <w:jc w:val="right"/>
          <w:rPr>
            <w:sz w:val="18"/>
            <w:szCs w:val="18"/>
          </w:rPr>
        </w:pPr>
        <w:r w:rsidRPr="005A6957">
          <w:rPr>
            <w:sz w:val="18"/>
            <w:szCs w:val="18"/>
          </w:rPr>
          <w:fldChar w:fldCharType="begin"/>
        </w:r>
        <w:r w:rsidRPr="005A6957">
          <w:rPr>
            <w:sz w:val="18"/>
            <w:szCs w:val="18"/>
          </w:rPr>
          <w:instrText>PAGE   \* MERGEFORMAT</w:instrText>
        </w:r>
        <w:r w:rsidRPr="005A6957">
          <w:rPr>
            <w:sz w:val="18"/>
            <w:szCs w:val="18"/>
          </w:rPr>
          <w:fldChar w:fldCharType="separate"/>
        </w:r>
        <w:r w:rsidR="00C57815" w:rsidRPr="00C57815">
          <w:rPr>
            <w:noProof/>
            <w:sz w:val="18"/>
            <w:szCs w:val="18"/>
            <w:lang w:val="pl-PL"/>
          </w:rPr>
          <w:t>73</w:t>
        </w:r>
        <w:r w:rsidRPr="005A6957">
          <w:rPr>
            <w:sz w:val="18"/>
            <w:szCs w:val="18"/>
          </w:rPr>
          <w:fldChar w:fldCharType="end"/>
        </w:r>
      </w:p>
    </w:sdtContent>
  </w:sdt>
  <w:p w14:paraId="4B02B0F8" w14:textId="77777777" w:rsidR="00AA6477" w:rsidRPr="00856E5F" w:rsidRDefault="00AA6477" w:rsidP="00856E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2413872"/>
      <w:docPartObj>
        <w:docPartGallery w:val="Page Numbers (Bottom of Page)"/>
        <w:docPartUnique/>
      </w:docPartObj>
    </w:sdtPr>
    <w:sdtEndPr/>
    <w:sdtContent>
      <w:p w14:paraId="1B3B7997" w14:textId="77777777" w:rsidR="00AA6477" w:rsidRDefault="00AA6477">
        <w:pPr>
          <w:pStyle w:val="Stopka"/>
          <w:jc w:val="right"/>
        </w:pPr>
        <w:r>
          <w:fldChar w:fldCharType="begin"/>
        </w:r>
        <w:r>
          <w:instrText>PAGE   \* MERGEFORMAT</w:instrText>
        </w:r>
        <w:r>
          <w:fldChar w:fldCharType="separate"/>
        </w:r>
        <w:r w:rsidR="00C57815" w:rsidRPr="00C57815">
          <w:rPr>
            <w:noProof/>
            <w:lang w:val="pl-PL"/>
          </w:rPr>
          <w:t>82</w:t>
        </w:r>
        <w:r>
          <w:fldChar w:fldCharType="end"/>
        </w:r>
      </w:p>
    </w:sdtContent>
  </w:sdt>
  <w:p w14:paraId="53B46714" w14:textId="77777777" w:rsidR="00AA6477" w:rsidRPr="00856E5F" w:rsidRDefault="00AA6477" w:rsidP="00856E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5131C" w14:textId="77777777" w:rsidR="00094076" w:rsidRPr="009F10D4" w:rsidRDefault="00094076" w:rsidP="009F10D4">
      <w:r>
        <w:separator/>
      </w:r>
    </w:p>
  </w:footnote>
  <w:footnote w:type="continuationSeparator" w:id="0">
    <w:p w14:paraId="2E63F788" w14:textId="77777777" w:rsidR="00094076" w:rsidRDefault="00094076">
      <w:r>
        <w:continuationSeparator/>
      </w:r>
    </w:p>
    <w:p w14:paraId="4C1BED2E" w14:textId="77777777" w:rsidR="00094076" w:rsidRDefault="00094076"/>
    <w:p w14:paraId="6666D034" w14:textId="77777777" w:rsidR="00094076" w:rsidRDefault="00094076"/>
    <w:p w14:paraId="114E5A92" w14:textId="77777777" w:rsidR="00094076" w:rsidRDefault="00094076"/>
    <w:p w14:paraId="05F55A4D" w14:textId="77777777" w:rsidR="00094076" w:rsidRDefault="00094076"/>
    <w:p w14:paraId="3095E57C" w14:textId="77777777" w:rsidR="00094076" w:rsidRDefault="00094076"/>
    <w:p w14:paraId="019191A7" w14:textId="77777777" w:rsidR="00094076" w:rsidRDefault="00094076"/>
  </w:footnote>
  <w:footnote w:type="continuationNotice" w:id="1">
    <w:p w14:paraId="755015E0" w14:textId="77777777" w:rsidR="00094076" w:rsidRDefault="00094076"/>
  </w:footnote>
  <w:footnote w:id="2">
    <w:p w14:paraId="1DE99183" w14:textId="77777777" w:rsidR="00AA6477" w:rsidRPr="001845C8" w:rsidRDefault="00AA6477" w:rsidP="0082391E">
      <w:pPr>
        <w:pStyle w:val="Tekstprzypisudolnego"/>
        <w:spacing w:before="0" w:after="0"/>
        <w:rPr>
          <w:szCs w:val="18"/>
        </w:rPr>
      </w:pPr>
      <w:r w:rsidRPr="001845C8">
        <w:rPr>
          <w:rStyle w:val="Odwoanieprzypisudolnego"/>
          <w:sz w:val="18"/>
          <w:szCs w:val="18"/>
        </w:rPr>
        <w:footnoteRef/>
      </w:r>
      <w:r w:rsidRPr="001845C8">
        <w:rPr>
          <w:szCs w:val="18"/>
        </w:rPr>
        <w:t xml:space="preserve"> Hill N.R. et al., Global Prevalence of Chronic Kidney Disease – A Systematic Review and Meta-Analysis, 2016</w:t>
      </w:r>
    </w:p>
  </w:footnote>
  <w:footnote w:id="3">
    <w:p w14:paraId="247FFFAB" w14:textId="77777777" w:rsidR="00AA6477" w:rsidRPr="001845C8" w:rsidRDefault="00AA6477" w:rsidP="0082391E">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Król E., Rutkowski B., Przewlekła choroba nerek – klasyfikacja, epidemiologia I diagnostyka, Klinika Nefrologii, Transplantologii i Chorób Wewnętrznych Akademii Medycznej w Gdańsku, Forum Nefrologiczne, 2008</w:t>
      </w:r>
    </w:p>
  </w:footnote>
  <w:footnote w:id="4">
    <w:p w14:paraId="1B2175E0" w14:textId="1E9EA519" w:rsidR="00AA6477" w:rsidRPr="00060165" w:rsidRDefault="00AA6477">
      <w:pPr>
        <w:pStyle w:val="Tekstprzypisudolnego"/>
        <w:rPr>
          <w:lang w:val="pl-PL"/>
        </w:rPr>
      </w:pPr>
      <w:r>
        <w:rPr>
          <w:rStyle w:val="Odwoanieprzypisudolnego"/>
        </w:rPr>
        <w:footnoteRef/>
      </w:r>
      <w:r w:rsidRPr="00060165">
        <w:rPr>
          <w:lang w:val="pl-PL"/>
        </w:rPr>
        <w:t xml:space="preserve"> </w:t>
      </w:r>
      <w:r>
        <w:rPr>
          <w:lang w:val="pl-PL"/>
        </w:rPr>
        <w:t>Szacunki EY na podstawie wycen produktów kontraktowych NFZ niezbędnych w terapii chorych w zaawansowanym stadium PChN</w:t>
      </w:r>
    </w:p>
  </w:footnote>
  <w:footnote w:id="5">
    <w:p w14:paraId="248015C3" w14:textId="0CB1CF64" w:rsidR="00AA6477" w:rsidRPr="00060165" w:rsidRDefault="00AA6477">
      <w:pPr>
        <w:pStyle w:val="Tekstprzypisudolnego"/>
        <w:rPr>
          <w:lang w:val="pl-PL"/>
        </w:rPr>
      </w:pPr>
      <w:r>
        <w:rPr>
          <w:rStyle w:val="Odwoanieprzypisudolnego"/>
        </w:rPr>
        <w:footnoteRef/>
      </w:r>
      <w:r w:rsidRPr="00060165">
        <w:rPr>
          <w:lang w:val="pl-PL"/>
        </w:rPr>
        <w:t xml:space="preserve"> </w:t>
      </w:r>
      <w:r>
        <w:rPr>
          <w:lang w:val="pl-PL"/>
        </w:rPr>
        <w:t xml:space="preserve">Ministerstwo Zdrowia, (dostęp 05.04.2017 </w:t>
      </w:r>
      <w:r w:rsidRPr="00060165">
        <w:rPr>
          <w:lang w:val="pl-PL"/>
        </w:rPr>
        <w:t>http://www.mz.gov.pl/aktualnosci/reformujemy-system-zeby-zmniejszyc-kolejki/</w:t>
      </w:r>
      <w:r>
        <w:rPr>
          <w:lang w:val="pl-PL"/>
        </w:rPr>
        <w:t xml:space="preserve"> )</w:t>
      </w:r>
    </w:p>
  </w:footnote>
  <w:footnote w:id="6">
    <w:p w14:paraId="3CFF6C86" w14:textId="77777777" w:rsidR="00AA6477" w:rsidRPr="001845C8" w:rsidRDefault="00AA6477" w:rsidP="001845C8">
      <w:pPr>
        <w:pStyle w:val="Tekstprzypisudolnego"/>
        <w:spacing w:before="0" w:after="0"/>
        <w:rPr>
          <w:szCs w:val="18"/>
        </w:rPr>
      </w:pPr>
      <w:r w:rsidRPr="001845C8">
        <w:rPr>
          <w:rStyle w:val="Odwoanieprzypisudolnego"/>
          <w:sz w:val="18"/>
          <w:szCs w:val="18"/>
        </w:rPr>
        <w:footnoteRef/>
      </w:r>
      <w:r w:rsidRPr="001845C8">
        <w:rPr>
          <w:szCs w:val="18"/>
        </w:rPr>
        <w:t xml:space="preserve"> KDIGO 2012 Clinical Practice Guideline for the Evaluation and Management of Chronic Kidney Disease, Official Journal of the International Society of Nephrology, 2013</w:t>
      </w:r>
    </w:p>
  </w:footnote>
  <w:footnote w:id="7">
    <w:p w14:paraId="2DF31265" w14:textId="77777777" w:rsidR="00AA6477" w:rsidRPr="001845C8" w:rsidRDefault="00AA6477" w:rsidP="001845C8">
      <w:pPr>
        <w:spacing w:before="0" w:after="0" w:line="240" w:lineRule="auto"/>
        <w:rPr>
          <w:sz w:val="18"/>
          <w:szCs w:val="18"/>
          <w:lang w:val="pl-PL"/>
        </w:rPr>
      </w:pPr>
      <w:r w:rsidRPr="001845C8">
        <w:rPr>
          <w:rStyle w:val="Odwoanieprzypisudolnego"/>
          <w:sz w:val="18"/>
          <w:szCs w:val="18"/>
        </w:rPr>
        <w:footnoteRef/>
      </w:r>
      <w:r w:rsidRPr="001845C8">
        <w:rPr>
          <w:sz w:val="18"/>
          <w:szCs w:val="18"/>
          <w:lang w:val="pl-PL"/>
        </w:rPr>
        <w:t xml:space="preserve"> Pod red. Gajewski P., Interna Szczeklika, Medycyna Praktyczna, 2016, s. 1508</w:t>
      </w:r>
    </w:p>
  </w:footnote>
  <w:footnote w:id="8">
    <w:p w14:paraId="61156BA1"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1.Pod red. nauk. Dębska Ślizień A. i wsp., Przewlekła choroba nerek. Poradnik dla pacjentów oraz ich rodzin, 2008; 2. Król E., Rutkowski B., Przewlekła choroba nerek… op.cit.</w:t>
      </w:r>
    </w:p>
  </w:footnote>
  <w:footnote w:id="9">
    <w:p w14:paraId="0DCEEF82"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w:t>
      </w:r>
      <w:r w:rsidRPr="00CD2203">
        <w:rPr>
          <w:szCs w:val="18"/>
          <w:lang w:val="pl-PL"/>
        </w:rPr>
        <w:t>http://jgp.uhc.com.pl/doc/29.5/icd10Lists/L83.html</w:t>
      </w:r>
      <w:r w:rsidRPr="001845C8">
        <w:rPr>
          <w:szCs w:val="18"/>
          <w:lang w:val="pl-PL"/>
        </w:rPr>
        <w:t xml:space="preserve"> (dostęp z dnia 19.01.2017) </w:t>
      </w:r>
    </w:p>
  </w:footnote>
  <w:footnote w:id="10">
    <w:p w14:paraId="56C716E8"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w:t>
      </w:r>
      <w:r w:rsidRPr="00CD2203">
        <w:rPr>
          <w:szCs w:val="18"/>
          <w:lang w:val="pl-PL"/>
        </w:rPr>
        <w:t>http://jgp.uhc.com.pl/doc/29.5/speciality/23.html</w:t>
      </w:r>
      <w:r w:rsidRPr="001845C8">
        <w:rPr>
          <w:szCs w:val="18"/>
          <w:lang w:val="pl-PL"/>
        </w:rPr>
        <w:t xml:space="preserve"> (dostęp z dnia 19.01.2017) </w:t>
      </w:r>
    </w:p>
  </w:footnote>
  <w:footnote w:id="11">
    <w:p w14:paraId="2EC6A377"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1512</w:t>
      </w:r>
    </w:p>
  </w:footnote>
  <w:footnote w:id="12">
    <w:p w14:paraId="1579D643"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Duława J., Vademecum medycyny wewnętrznej, Wydawnictwo Lekarskie PZWL, 2015, Warszawa, s. 575</w:t>
      </w:r>
    </w:p>
  </w:footnote>
  <w:footnote w:id="13">
    <w:p w14:paraId="7E1D8D7F"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Nieprawidłowości w zakresie filtracji kłębuszkowej są mierzone za pomocą wskaźnika eGFR (estimated glomerular filtration rate). Wskaźnik eGFR otrzymuje się na podstawie stężenia kreatyniny w surowicy krwi z uwzględnieniem podstawowych informacji dotyczących badanego (np. płeć, wiek, waga, rasa). Podstawowymi wzorami stosowanymi do estymacji eGFR są wzory np. CKD-EPI, MDRD, Cockrofta i Gaulta. eGFR jest podawany w jednostce ml/min/1,73 m</w:t>
      </w:r>
      <w:r w:rsidRPr="001845C8">
        <w:rPr>
          <w:szCs w:val="18"/>
          <w:vertAlign w:val="superscript"/>
          <w:lang w:val="pl-PL"/>
        </w:rPr>
        <w:t>2</w:t>
      </w:r>
      <w:r w:rsidRPr="001845C8">
        <w:rPr>
          <w:szCs w:val="18"/>
          <w:lang w:val="pl-PL"/>
        </w:rPr>
        <w:t xml:space="preserve"> i opisuje, jaka objętość krwi przesącza się przez nerki w ciągu jednej minuty na standardową powierzchnię ciała.</w:t>
      </w:r>
    </w:p>
  </w:footnote>
  <w:footnote w:id="14">
    <w:p w14:paraId="4ECA3413"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Wskaźniki albuminurii (występowania albumin w moczu) służą do opisywania zwiększonej przepuszczalności bariery kłębuszkowej. Powszechnymi wskaźnikami albuminurii są przykładowo: wskaźnik albumina/kreatynina (ACR; w pierwszej rannej lub przygodnej próbce moczu), dobowe wydalanie albuminy z moczem (AER; w dobowej zbiórce moczu).</w:t>
      </w:r>
    </w:p>
  </w:footnote>
  <w:footnote w:id="15">
    <w:p w14:paraId="3E3CAF51"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Gajewski P., Interna Szczeklika, Medycyna Praktyczna, 2016, s. 1508-1510</w:t>
      </w:r>
    </w:p>
  </w:footnote>
  <w:footnote w:id="16">
    <w:p w14:paraId="391E9E47"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Gajewski P., Interna Szczeklika, Medycyna Praktyczna, 2016, s. 1512</w:t>
      </w:r>
    </w:p>
  </w:footnote>
  <w:footnote w:id="17">
    <w:p w14:paraId="66AADA30" w14:textId="77777777" w:rsidR="00AA6477" w:rsidRPr="001845C8" w:rsidRDefault="00AA6477" w:rsidP="001845C8">
      <w:pPr>
        <w:pStyle w:val="Tekstprzypisudolnego"/>
        <w:spacing w:before="0" w:after="0"/>
        <w:rPr>
          <w:szCs w:val="18"/>
        </w:rPr>
      </w:pPr>
      <w:r w:rsidRPr="001845C8">
        <w:rPr>
          <w:rStyle w:val="Odwoanieprzypisudolnego"/>
          <w:sz w:val="18"/>
          <w:szCs w:val="18"/>
        </w:rPr>
        <w:footnoteRef/>
      </w:r>
      <w:r w:rsidRPr="001845C8">
        <w:rPr>
          <w:szCs w:val="18"/>
          <w:lang w:val="pl-PL"/>
        </w:rPr>
        <w:t xml:space="preserve"> Na podstawie wywiadów z ekspertami i literatury fachowej: 1. Pod red. nauk. Gajewski P., Interna Szczeklika, Medycyna Praktyczna, 2016, s. 1508; 2. Pod red. nauk. Duława J., Vademecum medycyny wewnętrznej, Wydawnictwo Lekarskie PZWL, 2015, Warszawa, s. 576-577; 3. Król E., Rutkowski B., Przewlekła choroba nerek – klasyfikacja, epidemiologia I diagnostyka, Klinika Nefrologii, Transplantologii i Chorób Wewnętrznych Akademii Medycznej w Gdańsku, Forum Nefrologiczne, 2008; 4. </w:t>
      </w:r>
      <w:r w:rsidRPr="001845C8">
        <w:rPr>
          <w:szCs w:val="18"/>
        </w:rPr>
        <w:t>Otero A. et al., Prevalence of chronic renal disease in Spain: results of the EPIRCE study, Spanish Nephrology Society, 2010</w:t>
      </w:r>
    </w:p>
  </w:footnote>
  <w:footnote w:id="18">
    <w:p w14:paraId="43815FD2"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Duława J., Vademecum … op. cit., s. 577</w:t>
      </w:r>
    </w:p>
  </w:footnote>
  <w:footnote w:id="19">
    <w:p w14:paraId="5545C2D8"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Duława J., Vademecum … op. cit., s. 578</w:t>
      </w:r>
    </w:p>
  </w:footnote>
  <w:footnote w:id="20">
    <w:p w14:paraId="7050C437" w14:textId="77777777" w:rsidR="00AA6477" w:rsidRPr="001845C8" w:rsidRDefault="00AA6477" w:rsidP="001845C8">
      <w:pPr>
        <w:pStyle w:val="Tekstprzypisudolnego"/>
        <w:spacing w:before="0" w:after="0"/>
        <w:rPr>
          <w:szCs w:val="18"/>
        </w:rPr>
      </w:pPr>
      <w:r w:rsidRPr="001845C8">
        <w:rPr>
          <w:rStyle w:val="Odwoanieprzypisudolnego"/>
          <w:sz w:val="18"/>
          <w:szCs w:val="18"/>
        </w:rPr>
        <w:footnoteRef/>
      </w:r>
      <w:r w:rsidRPr="001845C8">
        <w:rPr>
          <w:szCs w:val="18"/>
        </w:rPr>
        <w:t xml:space="preserve"> KDIGO 2012 Clinical Practice Guideline for the Evaluation and Management of Chronic Kidney Disease, Official Journal of the International Society of Nephrology, 2013, s. 8</w:t>
      </w:r>
    </w:p>
  </w:footnote>
  <w:footnote w:id="21">
    <w:p w14:paraId="65845376" w14:textId="77777777" w:rsidR="00AA6477" w:rsidRPr="001845C8" w:rsidRDefault="00AA6477" w:rsidP="001845C8">
      <w:pPr>
        <w:pStyle w:val="EYBulletedList1"/>
        <w:numPr>
          <w:ilvl w:val="0"/>
          <w:numId w:val="0"/>
        </w:numPr>
        <w:spacing w:before="0" w:after="0" w:line="240" w:lineRule="auto"/>
        <w:jc w:val="both"/>
        <w:rPr>
          <w:sz w:val="18"/>
          <w:szCs w:val="18"/>
          <w:lang w:val="pl-PL"/>
        </w:rPr>
      </w:pPr>
      <w:r w:rsidRPr="001845C8">
        <w:rPr>
          <w:rStyle w:val="Odwoanieprzypisudolnego"/>
          <w:sz w:val="18"/>
          <w:szCs w:val="18"/>
        </w:rPr>
        <w:footnoteRef/>
      </w:r>
      <w:r w:rsidRPr="001845C8">
        <w:rPr>
          <w:sz w:val="18"/>
          <w:szCs w:val="18"/>
          <w:lang w:val="pl-PL"/>
        </w:rPr>
        <w:t xml:space="preserve"> 1. Pod red. nauk. Gajewski P., Interna Szczeklika, Medycyna Praktyczna, 2016, s. 1515</w:t>
      </w:r>
    </w:p>
    <w:p w14:paraId="2082BBD9" w14:textId="77777777" w:rsidR="00AA6477" w:rsidRPr="001845C8" w:rsidRDefault="00AA6477" w:rsidP="001845C8">
      <w:pPr>
        <w:pStyle w:val="Tekstprzypisudolnego"/>
        <w:spacing w:before="0" w:after="0"/>
        <w:rPr>
          <w:szCs w:val="18"/>
          <w:lang w:val="pl-PL"/>
        </w:rPr>
      </w:pPr>
      <w:r w:rsidRPr="001845C8">
        <w:rPr>
          <w:szCs w:val="18"/>
          <w:lang w:val="pl-PL"/>
        </w:rPr>
        <w:t>2. Pod red. nauk. Duława J., Vademecum … op. cit., s. 580</w:t>
      </w:r>
    </w:p>
    <w:p w14:paraId="526D2F79" w14:textId="77777777" w:rsidR="00AA6477" w:rsidRPr="001845C8" w:rsidRDefault="00AA6477" w:rsidP="001845C8">
      <w:pPr>
        <w:pStyle w:val="Tekstprzypisudolnego"/>
        <w:spacing w:before="0" w:after="0"/>
        <w:rPr>
          <w:szCs w:val="18"/>
          <w:lang w:val="pl-PL"/>
        </w:rPr>
      </w:pPr>
      <w:r w:rsidRPr="001845C8">
        <w:rPr>
          <w:szCs w:val="18"/>
          <w:lang w:val="pl-PL"/>
        </w:rPr>
        <w:t>3. Więcek A. et al., Leczenie niedokrwistości w chorobach nerek – Stanowisko Polskiego Towarzystwa Nefrologicznego, 2015</w:t>
      </w:r>
    </w:p>
    <w:p w14:paraId="41C32546" w14:textId="77777777" w:rsidR="00AA6477" w:rsidRPr="001845C8" w:rsidRDefault="00AA6477" w:rsidP="001845C8">
      <w:pPr>
        <w:pStyle w:val="Tekstprzypisudolnego"/>
        <w:spacing w:before="0" w:after="0"/>
        <w:rPr>
          <w:szCs w:val="18"/>
          <w:lang w:val="pl-PL"/>
        </w:rPr>
      </w:pPr>
      <w:r w:rsidRPr="001845C8">
        <w:rPr>
          <w:szCs w:val="18"/>
          <w:lang w:val="pl-PL"/>
        </w:rPr>
        <w:t>4. National Kidney Foundation, Niedokrwistość i przewlekła choroba nerek. Stadium od 1 do 4, 2006-2007</w:t>
      </w:r>
    </w:p>
  </w:footnote>
  <w:footnote w:id="22">
    <w:p w14:paraId="7679D2FB"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1. Pod red. nauk. Gajewski P., Interna Szczeklika, Medycyna Praktyczna, 2016, s. 1516-1518</w:t>
      </w:r>
    </w:p>
    <w:p w14:paraId="3A9FDE3F" w14:textId="77777777" w:rsidR="00AA6477" w:rsidRPr="001845C8" w:rsidRDefault="00AA6477" w:rsidP="001845C8">
      <w:pPr>
        <w:pStyle w:val="Tekstprzypisudolnego"/>
        <w:spacing w:before="0" w:after="0"/>
        <w:rPr>
          <w:szCs w:val="18"/>
          <w:lang w:val="pl-PL"/>
        </w:rPr>
      </w:pPr>
      <w:r w:rsidRPr="001845C8">
        <w:rPr>
          <w:szCs w:val="18"/>
          <w:lang w:val="pl-PL"/>
        </w:rPr>
        <w:t>2. Pod red. nauk. Duława J., Vademecum … op. Cit., s. 580-582</w:t>
      </w:r>
    </w:p>
    <w:p w14:paraId="221DE27E" w14:textId="77777777" w:rsidR="00AA6477" w:rsidRPr="001845C8" w:rsidRDefault="00AA6477" w:rsidP="001845C8">
      <w:pPr>
        <w:pStyle w:val="Tekstprzypisudolnego"/>
        <w:spacing w:before="0" w:after="0"/>
        <w:rPr>
          <w:szCs w:val="18"/>
          <w:lang w:val="pl-PL"/>
        </w:rPr>
      </w:pPr>
      <w:r w:rsidRPr="001845C8">
        <w:rPr>
          <w:szCs w:val="18"/>
          <w:lang w:val="pl-PL"/>
        </w:rPr>
        <w:t>3. Grupa Robocza Zespołu Krajowego Konsultanta Medycznego w Dziedzinie Nefrologii, Stanowisko Grupy Roboczej Zespołu Krajowego Konsultanta Medycznego w Dziedzinie Nefrologii dotyczące rozpoznawania i leczenia powikłań mineralnych i kostnych przewlekłej choroby nerek (PChN-PMK), 2010</w:t>
      </w:r>
    </w:p>
  </w:footnote>
  <w:footnote w:id="23">
    <w:p w14:paraId="6F86B9D0"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1. Pod red. nauk. Gajewski P., Interna Szczeklika, Medycyna Praktyczna, 2016, s. 1516</w:t>
      </w:r>
    </w:p>
    <w:p w14:paraId="1E9349B0" w14:textId="77777777" w:rsidR="00AA6477" w:rsidRPr="001845C8" w:rsidRDefault="00AA6477" w:rsidP="001845C8">
      <w:pPr>
        <w:pStyle w:val="Tekstprzypisudolnego"/>
        <w:spacing w:before="0" w:after="0"/>
        <w:rPr>
          <w:szCs w:val="18"/>
          <w:lang w:val="pl-PL"/>
        </w:rPr>
      </w:pPr>
      <w:r w:rsidRPr="001845C8">
        <w:rPr>
          <w:szCs w:val="18"/>
          <w:lang w:val="pl-PL"/>
        </w:rPr>
        <w:t>2. Pod red. nauk. Duława J., Vademecum … op. cit., s. 583-584</w:t>
      </w:r>
    </w:p>
  </w:footnote>
  <w:footnote w:id="24">
    <w:p w14:paraId="137EB8C9" w14:textId="77777777" w:rsidR="00AA6477" w:rsidRPr="001845C8" w:rsidRDefault="00AA6477" w:rsidP="001845C8">
      <w:pPr>
        <w:pStyle w:val="Tekstprzypisudolnego"/>
        <w:spacing w:before="0" w:after="0"/>
        <w:rPr>
          <w:szCs w:val="18"/>
        </w:rPr>
      </w:pPr>
      <w:r w:rsidRPr="001845C8">
        <w:rPr>
          <w:rStyle w:val="Odwoanieprzypisudolnego"/>
          <w:sz w:val="18"/>
          <w:szCs w:val="18"/>
        </w:rPr>
        <w:footnoteRef/>
      </w:r>
      <w:r w:rsidRPr="001845C8">
        <w:rPr>
          <w:szCs w:val="18"/>
        </w:rPr>
        <w:t xml:space="preserve"> Herzog Ch. A. et al., Cardiovascular disease in chronic kidney disease. A clinical update from Kidney Disease: Improving Global Outcomes (KDIGO), International Society of Nephrology, 2011</w:t>
      </w:r>
    </w:p>
  </w:footnote>
  <w:footnote w:id="25">
    <w:p w14:paraId="7F83B44F" w14:textId="77777777" w:rsidR="00AA6477" w:rsidRPr="001845C8" w:rsidRDefault="00AA6477" w:rsidP="001845C8">
      <w:pPr>
        <w:pStyle w:val="Tekstprzypisudolnego"/>
        <w:spacing w:before="0" w:after="0"/>
        <w:rPr>
          <w:szCs w:val="18"/>
        </w:rPr>
      </w:pPr>
      <w:r w:rsidRPr="001845C8">
        <w:rPr>
          <w:rStyle w:val="Odwoanieprzypisudolnego"/>
          <w:sz w:val="18"/>
          <w:szCs w:val="18"/>
        </w:rPr>
        <w:footnoteRef/>
      </w:r>
      <w:r w:rsidRPr="001845C8">
        <w:rPr>
          <w:szCs w:val="18"/>
        </w:rPr>
        <w:t xml:space="preserve"> 1. Ardhanari S. et al., Cardiovascular Disease in Chronic Kidney Disease: Risk Factors, Pathogenesis and Prevention, Advances in Peritoneal Dialysis, 2014;</w:t>
      </w:r>
    </w:p>
    <w:p w14:paraId="7AA92ADD" w14:textId="77777777" w:rsidR="00AA6477" w:rsidRPr="001845C8" w:rsidRDefault="00AA6477" w:rsidP="001845C8">
      <w:pPr>
        <w:pStyle w:val="Tekstprzypisudolnego"/>
        <w:spacing w:before="0" w:after="0"/>
        <w:rPr>
          <w:szCs w:val="18"/>
          <w:lang w:val="pl-PL"/>
        </w:rPr>
      </w:pPr>
      <w:r w:rsidRPr="001845C8">
        <w:rPr>
          <w:szCs w:val="18"/>
          <w:lang w:val="pl-PL"/>
        </w:rPr>
        <w:t>2. Pod red. nauk. Duława J., Vademecum … op. cit., s. 582</w:t>
      </w:r>
    </w:p>
  </w:footnote>
  <w:footnote w:id="26">
    <w:p w14:paraId="46DE5D57"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Duława J., Vademecum … op. Cit., s. 582</w:t>
      </w:r>
    </w:p>
  </w:footnote>
  <w:footnote w:id="27">
    <w:p w14:paraId="5BAFB296"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Duława J., Vademecum … op. Cit., s. 582</w:t>
      </w:r>
    </w:p>
  </w:footnote>
  <w:footnote w:id="28">
    <w:p w14:paraId="7E63187A" w14:textId="77777777" w:rsidR="00AA6477" w:rsidRPr="001845C8" w:rsidRDefault="00AA6477" w:rsidP="001845C8">
      <w:pPr>
        <w:spacing w:before="0" w:after="0" w:line="240" w:lineRule="auto"/>
        <w:rPr>
          <w:sz w:val="18"/>
          <w:szCs w:val="18"/>
          <w:lang w:val="pl-PL"/>
        </w:rPr>
      </w:pPr>
      <w:r w:rsidRPr="001845C8">
        <w:rPr>
          <w:rStyle w:val="Odwoanieprzypisudolnego"/>
          <w:sz w:val="18"/>
          <w:szCs w:val="18"/>
        </w:rPr>
        <w:footnoteRef/>
      </w:r>
      <w:r w:rsidRPr="001845C8">
        <w:rPr>
          <w:sz w:val="18"/>
          <w:szCs w:val="18"/>
          <w:lang w:val="pl-PL"/>
        </w:rPr>
        <w:t xml:space="preserve"> Pod red. nauk. Gajewski P., Interna Szczeklika, Medycyna Praktyczna, 2016, s. 1509</w:t>
      </w:r>
    </w:p>
    <w:p w14:paraId="3AAF076B" w14:textId="77777777" w:rsidR="00AA6477" w:rsidRPr="001845C8" w:rsidRDefault="00AA6477" w:rsidP="001845C8">
      <w:pPr>
        <w:pStyle w:val="Tekstprzypisudolnego"/>
        <w:spacing w:before="0" w:after="0"/>
        <w:rPr>
          <w:szCs w:val="18"/>
          <w:lang w:val="pl-PL"/>
        </w:rPr>
      </w:pPr>
    </w:p>
  </w:footnote>
  <w:footnote w:id="29">
    <w:p w14:paraId="67BC5A87"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Gajewski P., Interna Szczeklika, Medycyna Praktyczna, 2016, s. 1511, 1518</w:t>
      </w:r>
    </w:p>
  </w:footnote>
  <w:footnote w:id="30">
    <w:p w14:paraId="3FE9D1E6"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Gajewski P., Interna Szczeklika, Medycyna Praktyczna, 2016, s. 1512, 1518</w:t>
      </w:r>
    </w:p>
  </w:footnote>
  <w:footnote w:id="31">
    <w:p w14:paraId="08262AC4"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Gajewski P., Interna Szczeklika, Medycyna Praktyczna, 2016, s. 1518</w:t>
      </w:r>
    </w:p>
  </w:footnote>
  <w:footnote w:id="32">
    <w:p w14:paraId="3B435C3F"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nauk. Kulik T. B., Pacian A., Zdrowie Publiczne, PZWL, Warszawa, 2014, s. 124-125</w:t>
      </w:r>
    </w:p>
  </w:footnote>
  <w:footnote w:id="33">
    <w:p w14:paraId="2236BBD3"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1. Pod red. Gajewski P., Interna Szczeklika, Medycyna Praktyczna, 2016, s. 1508</w:t>
      </w:r>
    </w:p>
    <w:p w14:paraId="28D04673" w14:textId="77777777" w:rsidR="00AA6477" w:rsidRPr="001845C8" w:rsidRDefault="00AA6477" w:rsidP="001845C8">
      <w:pPr>
        <w:pStyle w:val="Tekstprzypisudolnego"/>
        <w:spacing w:before="0" w:after="0"/>
        <w:rPr>
          <w:szCs w:val="18"/>
          <w:lang w:val="pl-PL"/>
        </w:rPr>
      </w:pPr>
      <w:r w:rsidRPr="001845C8">
        <w:rPr>
          <w:szCs w:val="18"/>
          <w:lang w:val="pl-PL"/>
        </w:rPr>
        <w:t>2. Król E., Rutkowski B., Przewlekła choroba nerek – klasyfikacja, epidemiologia I diagnostyka, Klinika Nefrologii, Transplantologii i Chorób Wewnętrznych Akademii Medycznej w Gdańsku, Forum Nefrologiczne, 2008</w:t>
      </w:r>
    </w:p>
    <w:p w14:paraId="592B777A" w14:textId="77777777" w:rsidR="00AA6477" w:rsidRPr="001845C8" w:rsidRDefault="00AA6477" w:rsidP="001845C8">
      <w:pPr>
        <w:pStyle w:val="Tekstprzypisudolnego"/>
        <w:spacing w:before="0" w:after="0"/>
        <w:rPr>
          <w:szCs w:val="18"/>
          <w:lang w:val="pl-PL"/>
        </w:rPr>
      </w:pPr>
      <w:r w:rsidRPr="001845C8">
        <w:rPr>
          <w:szCs w:val="18"/>
          <w:lang w:val="pl-PL"/>
        </w:rPr>
        <w:t>3. Rutkowski B., PChN – Epidemiologia, materiały z konferencji prasowej odbytej w Warszawie dn. 4.03.2010</w:t>
      </w:r>
    </w:p>
  </w:footnote>
  <w:footnote w:id="34">
    <w:p w14:paraId="73936B05" w14:textId="77777777" w:rsidR="00AA6477" w:rsidRPr="001845C8" w:rsidRDefault="00AA6477" w:rsidP="001845C8">
      <w:pPr>
        <w:pStyle w:val="Tekstprzypisudolnego"/>
        <w:spacing w:before="0" w:after="0"/>
        <w:rPr>
          <w:szCs w:val="18"/>
        </w:rPr>
      </w:pPr>
      <w:r w:rsidRPr="001845C8">
        <w:rPr>
          <w:rStyle w:val="Odwoanieprzypisudolnego"/>
          <w:sz w:val="18"/>
          <w:szCs w:val="18"/>
        </w:rPr>
        <w:footnoteRef/>
      </w:r>
      <w:r w:rsidRPr="001845C8">
        <w:rPr>
          <w:szCs w:val="18"/>
        </w:rPr>
        <w:t xml:space="preserve"> 1. Hill N.R. et al., Global Prevalence of Chronic Kidney Disease – A Systematic Review and Meta-Analysis, 2016;</w:t>
      </w:r>
    </w:p>
    <w:p w14:paraId="797D87A3" w14:textId="77777777" w:rsidR="00AA6477" w:rsidRPr="001845C8" w:rsidRDefault="00AA6477" w:rsidP="001845C8">
      <w:pPr>
        <w:pStyle w:val="Tekstprzypisudolnego"/>
        <w:spacing w:before="0" w:after="0"/>
        <w:rPr>
          <w:szCs w:val="18"/>
          <w:lang w:val="pl-PL"/>
        </w:rPr>
      </w:pPr>
      <w:r w:rsidRPr="001845C8">
        <w:rPr>
          <w:szCs w:val="18"/>
          <w:lang w:val="pl-PL"/>
        </w:rPr>
        <w:t>2. Rutkowski B., PChN – Epidemiologia, materiały z konferencji prasowej odbytej w Warszawie dn. 4.03.2010</w:t>
      </w:r>
    </w:p>
  </w:footnote>
  <w:footnote w:id="35">
    <w:p w14:paraId="4FC9EADC" w14:textId="15E2CB03"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http://www.nhs.uk/news/2012/08august/Pages/One-million-people-with-undiagnosed-chronic%20kidney-disease.aspx</w:t>
      </w:r>
    </w:p>
    <w:p w14:paraId="1043C933" w14:textId="77777777" w:rsidR="00AA6477" w:rsidRPr="001845C8" w:rsidRDefault="00AA6477" w:rsidP="001845C8">
      <w:pPr>
        <w:pStyle w:val="Tekstprzypisudolnego"/>
        <w:spacing w:before="0" w:after="0"/>
        <w:rPr>
          <w:szCs w:val="18"/>
          <w:lang w:val="pl-PL"/>
        </w:rPr>
      </w:pPr>
    </w:p>
  </w:footnote>
  <w:footnote w:id="36">
    <w:p w14:paraId="138A63C0"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1618</w:t>
      </w:r>
    </w:p>
  </w:footnote>
  <w:footnote w:id="37">
    <w:p w14:paraId="3F217565" w14:textId="77777777" w:rsidR="00AA6477" w:rsidRPr="000535A1" w:rsidRDefault="00AA6477">
      <w:pPr>
        <w:pStyle w:val="Tekstprzypisudolnego"/>
        <w:rPr>
          <w:lang w:val="pl-PL"/>
        </w:rPr>
      </w:pPr>
      <w:r w:rsidRPr="000535A1">
        <w:rPr>
          <w:rStyle w:val="Odwoanieprzypisudolnego"/>
          <w:sz w:val="18"/>
          <w:szCs w:val="18"/>
        </w:rPr>
        <w:footnoteRef/>
      </w:r>
      <w:r w:rsidRPr="000535A1">
        <w:rPr>
          <w:lang w:val="pl-PL"/>
        </w:rPr>
        <w:t xml:space="preserve"> http://www.poltransplant.org.pl/statystyka_2016.html</w:t>
      </w:r>
      <w:r>
        <w:rPr>
          <w:lang w:val="pl-PL"/>
        </w:rPr>
        <w:t xml:space="preserve"> (dostęp 22.03.2017)</w:t>
      </w:r>
    </w:p>
  </w:footnote>
  <w:footnote w:id="38">
    <w:p w14:paraId="01A189D3" w14:textId="77777777" w:rsidR="00AA6477" w:rsidRPr="001845C8" w:rsidRDefault="00AA6477" w:rsidP="00535370">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1627</w:t>
      </w:r>
    </w:p>
  </w:footnote>
  <w:footnote w:id="39">
    <w:p w14:paraId="4CE15AB9" w14:textId="77777777" w:rsidR="00AA6477" w:rsidRPr="00060165" w:rsidRDefault="00AA6477" w:rsidP="00ED5A26">
      <w:pPr>
        <w:pStyle w:val="Tekstprzypisudolnego"/>
        <w:rPr>
          <w:lang w:val="pl-PL"/>
        </w:rPr>
      </w:pPr>
      <w:r>
        <w:rPr>
          <w:rStyle w:val="Odwoanieprzypisudolnego"/>
        </w:rPr>
        <w:footnoteRef/>
      </w:r>
      <w:r w:rsidRPr="00060165">
        <w:rPr>
          <w:lang w:val="pl-PL"/>
        </w:rPr>
        <w:t xml:space="preserve"> </w:t>
      </w:r>
      <w:r>
        <w:rPr>
          <w:lang w:val="pl-PL"/>
        </w:rPr>
        <w:t>Hornik B. et al., J</w:t>
      </w:r>
      <w:r w:rsidRPr="00060165">
        <w:rPr>
          <w:lang w:val="pl-PL"/>
        </w:rPr>
        <w:t>akość życia pacjentów hemodializowanych</w:t>
      </w:r>
      <w:r>
        <w:rPr>
          <w:lang w:val="pl-PL"/>
        </w:rPr>
        <w:t>,</w:t>
      </w:r>
      <w:r w:rsidRPr="00060165">
        <w:rPr>
          <w:lang w:val="pl-PL"/>
        </w:rPr>
        <w:t xml:space="preserve"> dializowanych otrzewnowo i po przeszczepie</w:t>
      </w:r>
      <w:r>
        <w:rPr>
          <w:lang w:val="pl-PL"/>
        </w:rPr>
        <w:t>, Zdrowie i Dobrostan 2/2014</w:t>
      </w:r>
    </w:p>
  </w:footnote>
  <w:footnote w:id="40">
    <w:p w14:paraId="7C625C02"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Pod red. nauk. Duława J., Vademecum … op. Cit., s. 584</w:t>
      </w:r>
    </w:p>
  </w:footnote>
  <w:footnote w:id="41">
    <w:p w14:paraId="6470B75A"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1513</w:t>
      </w:r>
    </w:p>
  </w:footnote>
  <w:footnote w:id="42">
    <w:p w14:paraId="5336F6FF"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Na podstawie wywiadów z ekspertami i literatury fachowej: Pod red. Gajewski P., Interna Szczeklika, Medycyna Praktyczna, 2016, s. 1514-1515</w:t>
      </w:r>
    </w:p>
  </w:footnote>
  <w:footnote w:id="43">
    <w:p w14:paraId="7EAE85C6" w14:textId="77777777" w:rsidR="00AA6477" w:rsidRPr="00544A6B" w:rsidRDefault="00AA6477">
      <w:pPr>
        <w:pStyle w:val="Tekstprzypisudolnego"/>
        <w:rPr>
          <w:lang w:val="pl-PL"/>
        </w:rPr>
      </w:pPr>
      <w:r>
        <w:rPr>
          <w:rStyle w:val="Odwoanieprzypisudolnego"/>
        </w:rPr>
        <w:footnoteRef/>
      </w:r>
      <w:r w:rsidRPr="00544A6B">
        <w:rPr>
          <w:lang w:val="pl-PL"/>
        </w:rPr>
        <w:t xml:space="preserve"> </w:t>
      </w:r>
      <w:r>
        <w:rPr>
          <w:lang w:val="pl-PL"/>
        </w:rPr>
        <w:t xml:space="preserve">AOTMiT, Hemodializa, Opracowanie nr: </w:t>
      </w:r>
      <w:r w:rsidRPr="00B2298C">
        <w:rPr>
          <w:lang w:val="pl-PL"/>
        </w:rPr>
        <w:t>AOTMiT-WT-553-20/2015</w:t>
      </w:r>
      <w:r>
        <w:rPr>
          <w:lang w:val="pl-PL"/>
        </w:rPr>
        <w:t>, 2016, s. 11</w:t>
      </w:r>
    </w:p>
  </w:footnote>
  <w:footnote w:id="44">
    <w:p w14:paraId="084F07C7"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1618</w:t>
      </w:r>
    </w:p>
  </w:footnote>
  <w:footnote w:id="45">
    <w:p w14:paraId="5AEA00BC"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1618</w:t>
      </w:r>
    </w:p>
  </w:footnote>
  <w:footnote w:id="46">
    <w:p w14:paraId="5E2B02EA"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1618</w:t>
      </w:r>
    </w:p>
  </w:footnote>
  <w:footnote w:id="47">
    <w:p w14:paraId="331BA3F3"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1620-1621</w:t>
      </w:r>
    </w:p>
  </w:footnote>
  <w:footnote w:id="48">
    <w:p w14:paraId="466D6C0E"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1620-1623</w:t>
      </w:r>
    </w:p>
  </w:footnote>
  <w:footnote w:id="49">
    <w:p w14:paraId="6ED73990" w14:textId="77777777" w:rsidR="00AA6477" w:rsidRPr="001845C8" w:rsidRDefault="00AA6477" w:rsidP="005F2322">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Pod red. Gajewski P., Interna Szczeklika, Medycyna Praktyczna, 2016, s. 1618</w:t>
      </w:r>
    </w:p>
  </w:footnote>
  <w:footnote w:id="50">
    <w:p w14:paraId="51C83968" w14:textId="77777777" w:rsidR="00AA6477" w:rsidRPr="000F0E6B" w:rsidRDefault="00AA6477" w:rsidP="00D02C22">
      <w:pPr>
        <w:pStyle w:val="Tekstprzypisudolnego"/>
        <w:rPr>
          <w:szCs w:val="18"/>
          <w:lang w:val="pl-PL"/>
        </w:rPr>
      </w:pPr>
      <w:r w:rsidRPr="00AE7042">
        <w:rPr>
          <w:rStyle w:val="Odwoanieprzypisudolnego"/>
          <w:sz w:val="18"/>
          <w:szCs w:val="18"/>
        </w:rPr>
        <w:footnoteRef/>
      </w:r>
      <w:r w:rsidRPr="00AE7042">
        <w:rPr>
          <w:szCs w:val="18"/>
          <w:lang w:val="pl-PL"/>
        </w:rPr>
        <w:t xml:space="preserve"> </w:t>
      </w:r>
      <w:r w:rsidRPr="000F0E6B">
        <w:rPr>
          <w:szCs w:val="18"/>
          <w:lang w:val="pl-PL"/>
        </w:rPr>
        <w:t>Miłkowski A., Benedyk-Lorens E., Zastosowanie hemodiafiltracji, Forum Nefrologiczne 2008, tom 1, nr 1, 37-41</w:t>
      </w:r>
    </w:p>
  </w:footnote>
  <w:footnote w:id="51">
    <w:p w14:paraId="094F1A6F" w14:textId="77777777" w:rsidR="00AA6477" w:rsidRPr="000F0E6B" w:rsidRDefault="00AA6477" w:rsidP="005F2322">
      <w:pPr>
        <w:pStyle w:val="Tekstprzypisudolnego"/>
        <w:rPr>
          <w:szCs w:val="18"/>
          <w:lang w:val="pl-PL"/>
        </w:rPr>
      </w:pPr>
      <w:r w:rsidRPr="000F0E6B">
        <w:rPr>
          <w:rStyle w:val="Odwoanieprzypisudolnego"/>
          <w:sz w:val="18"/>
          <w:szCs w:val="18"/>
        </w:rPr>
        <w:footnoteRef/>
      </w:r>
      <w:r w:rsidRPr="000F0E6B">
        <w:rPr>
          <w:szCs w:val="18"/>
          <w:lang w:val="pl-PL"/>
        </w:rPr>
        <w:t xml:space="preserve"> AOTMiT, Hemodializa, Opracowanie nr: AOTMiT-WT-553-20/2015, 2016, s. 24, 61-62</w:t>
      </w:r>
    </w:p>
  </w:footnote>
  <w:footnote w:id="52">
    <w:p w14:paraId="3AB5CB06" w14:textId="77777777" w:rsidR="00AA6477" w:rsidRPr="00AE7042" w:rsidRDefault="00AA6477" w:rsidP="001845C8">
      <w:pPr>
        <w:pStyle w:val="Tekstprzypisudolnego"/>
        <w:spacing w:before="0" w:after="0"/>
        <w:rPr>
          <w:szCs w:val="18"/>
          <w:lang w:val="pl-PL"/>
        </w:rPr>
      </w:pPr>
      <w:r w:rsidRPr="000F0E6B">
        <w:rPr>
          <w:rStyle w:val="Odwoanieprzypisudolnego"/>
          <w:sz w:val="18"/>
          <w:szCs w:val="18"/>
        </w:rPr>
        <w:footnoteRef/>
      </w:r>
      <w:r w:rsidRPr="000F0E6B">
        <w:rPr>
          <w:szCs w:val="18"/>
          <w:lang w:val="pl-PL"/>
        </w:rPr>
        <w:t xml:space="preserve"> Pod red. Gajewski P., Interna</w:t>
      </w:r>
      <w:r w:rsidRPr="00AE7042">
        <w:rPr>
          <w:szCs w:val="18"/>
          <w:lang w:val="pl-PL"/>
        </w:rPr>
        <w:t xml:space="preserve"> Szczeklika, Medycyna Praktyczna, 2016, s. 1623-1624</w:t>
      </w:r>
    </w:p>
  </w:footnote>
  <w:footnote w:id="53">
    <w:p w14:paraId="6B3A6F95" w14:textId="77777777" w:rsidR="00AA6477" w:rsidRPr="00AE7042" w:rsidRDefault="00AA6477" w:rsidP="001845C8">
      <w:pPr>
        <w:pStyle w:val="Tekstprzypisudolnego"/>
        <w:spacing w:before="0" w:after="0"/>
        <w:rPr>
          <w:szCs w:val="18"/>
          <w:lang w:val="pl-PL"/>
        </w:rPr>
      </w:pPr>
      <w:r w:rsidRPr="00AE7042">
        <w:rPr>
          <w:rStyle w:val="Odwoanieprzypisudolnego"/>
          <w:sz w:val="18"/>
          <w:szCs w:val="18"/>
        </w:rPr>
        <w:footnoteRef/>
      </w:r>
      <w:r w:rsidRPr="00AE7042">
        <w:rPr>
          <w:szCs w:val="18"/>
          <w:lang w:val="pl-PL"/>
        </w:rPr>
        <w:t xml:space="preserve"> Pod red. Gajewski P., Interna Szczeklika, Medycyna Praktyczna, 2016, s. 1624</w:t>
      </w:r>
    </w:p>
  </w:footnote>
  <w:footnote w:id="54">
    <w:p w14:paraId="3BD78F21"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Przy założeniu o stosowaniu się do zaleceń świadczeniodawców i przyjęciu opieki przez chorego, pacjent jest poddany ciągłej opiece aż do momentu zgonu.</w:t>
      </w:r>
    </w:p>
  </w:footnote>
  <w:footnote w:id="55">
    <w:p w14:paraId="579AC352" w14:textId="77777777" w:rsidR="00AA6477" w:rsidRPr="001845C8" w:rsidRDefault="00AA6477" w:rsidP="001845C8">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Ministerstwo Zdrowia, </w:t>
      </w:r>
      <w:r w:rsidRPr="001845C8">
        <w:rPr>
          <w:rFonts w:eastAsia="Calibri"/>
          <w:szCs w:val="18"/>
          <w:lang w:val="pl-PL"/>
        </w:rPr>
        <w:t>Krajowe ramy strategiczne. Policy paper dla ochrony zdrowia na lata 2014-2020, 2015, s. 39</w:t>
      </w:r>
    </w:p>
  </w:footnote>
  <w:footnote w:id="56">
    <w:p w14:paraId="674414ED" w14:textId="77777777" w:rsidR="00AA6477" w:rsidRPr="001845C8" w:rsidRDefault="00AA6477" w:rsidP="00040782">
      <w:pPr>
        <w:pStyle w:val="Tekstprzypisudolnego"/>
        <w:spacing w:before="0" w:after="0"/>
        <w:rPr>
          <w:szCs w:val="18"/>
          <w:lang w:val="pl-PL"/>
        </w:rPr>
      </w:pPr>
      <w:r w:rsidRPr="001845C8">
        <w:rPr>
          <w:rStyle w:val="Odwoanieprzypisudolnego"/>
          <w:sz w:val="18"/>
          <w:szCs w:val="18"/>
        </w:rPr>
        <w:footnoteRef/>
      </w:r>
      <w:r w:rsidRPr="001845C8">
        <w:rPr>
          <w:szCs w:val="18"/>
          <w:lang w:val="pl-PL"/>
        </w:rPr>
        <w:t xml:space="preserve"> </w:t>
      </w:r>
      <w:r w:rsidRPr="00AE7042">
        <w:rPr>
          <w:szCs w:val="18"/>
          <w:lang w:val="pl-PL"/>
        </w:rPr>
        <w:t>http://kolejki.nfz.gov.pl/</w:t>
      </w:r>
      <w:r>
        <w:rPr>
          <w:szCs w:val="18"/>
          <w:lang w:val="pl-PL"/>
        </w:rPr>
        <w:t xml:space="preserve"> (dostęp</w:t>
      </w:r>
      <w:r w:rsidRPr="001845C8">
        <w:rPr>
          <w:szCs w:val="18"/>
          <w:lang w:val="pl-PL"/>
        </w:rPr>
        <w:t xml:space="preserve"> 8.02.2017</w:t>
      </w:r>
      <w:r>
        <w:rPr>
          <w:szCs w:val="18"/>
          <w:lang w:val="pl-PL"/>
        </w:rPr>
        <w:t>)</w:t>
      </w:r>
    </w:p>
  </w:footnote>
  <w:footnote w:id="57">
    <w:p w14:paraId="39E3B6C4" w14:textId="77777777" w:rsidR="00AA6477" w:rsidRPr="00487C5A" w:rsidRDefault="00AA6477" w:rsidP="00040782">
      <w:pPr>
        <w:pStyle w:val="Tekstprzypisudolnego"/>
        <w:rPr>
          <w:szCs w:val="18"/>
          <w:lang w:val="pl-PL"/>
        </w:rPr>
      </w:pPr>
      <w:r w:rsidRPr="00487C5A">
        <w:rPr>
          <w:rStyle w:val="Odwoanieprzypisudolnego"/>
          <w:sz w:val="18"/>
          <w:szCs w:val="18"/>
        </w:rPr>
        <w:footnoteRef/>
      </w:r>
      <w:r w:rsidRPr="00487C5A">
        <w:rPr>
          <w:szCs w:val="18"/>
          <w:lang w:val="pl-PL"/>
        </w:rPr>
        <w:t xml:space="preserve"> Na podstawie wywiadów z ekspertami</w:t>
      </w:r>
    </w:p>
  </w:footnote>
  <w:footnote w:id="58">
    <w:p w14:paraId="6FE761E7" w14:textId="77777777" w:rsidR="00AA6477" w:rsidRPr="00487C5A" w:rsidRDefault="00AA6477">
      <w:pPr>
        <w:pStyle w:val="Tekstprzypisudolnego"/>
        <w:rPr>
          <w:szCs w:val="18"/>
          <w:lang w:val="pl-PL"/>
        </w:rPr>
      </w:pPr>
      <w:r w:rsidRPr="00487C5A">
        <w:rPr>
          <w:rStyle w:val="Odwoanieprzypisudolnego"/>
          <w:sz w:val="18"/>
          <w:szCs w:val="18"/>
        </w:rPr>
        <w:footnoteRef/>
      </w:r>
      <w:r w:rsidRPr="00487C5A">
        <w:rPr>
          <w:szCs w:val="18"/>
          <w:lang w:val="pl-PL"/>
        </w:rPr>
        <w:t xml:space="preserve"> Dane Sekcji Nefrologicznej Izby Gospodarczej Medycyna Polska Nefron, stan na koniec 2015 r,</w:t>
      </w:r>
    </w:p>
  </w:footnote>
  <w:footnote w:id="59">
    <w:p w14:paraId="1AA3DFEB" w14:textId="77777777" w:rsidR="00AA6477" w:rsidRPr="00B2298C" w:rsidRDefault="00AA6477">
      <w:pPr>
        <w:pStyle w:val="Tekstprzypisudolnego"/>
        <w:rPr>
          <w:lang w:val="pl-PL"/>
        </w:rPr>
      </w:pPr>
      <w:r w:rsidRPr="00487C5A">
        <w:rPr>
          <w:rStyle w:val="Odwoanieprzypisudolnego"/>
          <w:sz w:val="18"/>
          <w:szCs w:val="18"/>
        </w:rPr>
        <w:footnoteRef/>
      </w:r>
      <w:r w:rsidRPr="00487C5A">
        <w:rPr>
          <w:szCs w:val="18"/>
          <w:lang w:val="pl-PL"/>
        </w:rPr>
        <w:t xml:space="preserve"> AOTMiT, Hemodializa, Opracowanie nr: AOTMiT-WT-553-20/2015, 2016, s. 10</w:t>
      </w:r>
    </w:p>
  </w:footnote>
  <w:footnote w:id="60">
    <w:p w14:paraId="1BD1FDBC" w14:textId="77777777" w:rsidR="00AA6477" w:rsidRPr="00A81925" w:rsidRDefault="00AA6477">
      <w:pPr>
        <w:pStyle w:val="Tekstprzypisudolnego"/>
        <w:rPr>
          <w:szCs w:val="18"/>
          <w:lang w:val="pl-PL"/>
        </w:rPr>
      </w:pPr>
      <w:r w:rsidRPr="00A81925">
        <w:rPr>
          <w:rStyle w:val="Odwoanieprzypisudolnego"/>
          <w:sz w:val="18"/>
          <w:szCs w:val="18"/>
        </w:rPr>
        <w:footnoteRef/>
      </w:r>
      <w:r w:rsidRPr="00A81925">
        <w:rPr>
          <w:szCs w:val="18"/>
          <w:lang w:val="pl-PL"/>
        </w:rPr>
        <w:t xml:space="preserve"> Dane Sekcji Nefrologicznej Izby Gospodarczej Medycyna Polska (Nefron) – prezentacja z XII Krakowskich Dni Dializoterapii, D.Aksamit, 09.2016</w:t>
      </w:r>
    </w:p>
  </w:footnote>
  <w:footnote w:id="61">
    <w:p w14:paraId="61FFD416" w14:textId="77777777" w:rsidR="00AA6477" w:rsidRPr="00A81925" w:rsidRDefault="00AA6477">
      <w:pPr>
        <w:pStyle w:val="Tekstprzypisudolnego"/>
        <w:rPr>
          <w:szCs w:val="18"/>
          <w:lang w:val="pl-PL"/>
        </w:rPr>
      </w:pPr>
      <w:r w:rsidRPr="00A81925">
        <w:rPr>
          <w:rStyle w:val="Odwoanieprzypisudolnego"/>
          <w:sz w:val="18"/>
          <w:szCs w:val="18"/>
        </w:rPr>
        <w:footnoteRef/>
      </w:r>
      <w:r w:rsidRPr="00A81925">
        <w:rPr>
          <w:szCs w:val="18"/>
          <w:lang w:val="pl-PL"/>
        </w:rPr>
        <w:t xml:space="preserve"> Dane Sekcji Nefrologicznej Izby Gospodarczej Medycyna Polska (Nefron) – prezentacja z XII Krakowskich Dni Dializoterapii, D.Aksamit, 09.2016</w:t>
      </w:r>
    </w:p>
  </w:footnote>
  <w:footnote w:id="62">
    <w:p w14:paraId="2E783213" w14:textId="77777777" w:rsidR="00AA6477" w:rsidRPr="00123088" w:rsidRDefault="00AA6477" w:rsidP="00123088">
      <w:pPr>
        <w:pStyle w:val="Tekstprzypisudolnego"/>
        <w:rPr>
          <w:szCs w:val="18"/>
          <w:lang w:val="pl-PL"/>
        </w:rPr>
      </w:pPr>
      <w:r w:rsidRPr="00123088">
        <w:rPr>
          <w:rStyle w:val="Odwoanieprzypisudolnego"/>
          <w:sz w:val="18"/>
          <w:szCs w:val="18"/>
        </w:rPr>
        <w:footnoteRef/>
      </w:r>
      <w:r w:rsidRPr="00123088">
        <w:rPr>
          <w:szCs w:val="18"/>
          <w:lang w:val="pl-PL"/>
        </w:rPr>
        <w:t xml:space="preserve"> Naczelna Izba Lekarska</w:t>
      </w:r>
      <w:r>
        <w:rPr>
          <w:szCs w:val="18"/>
          <w:lang w:val="pl-PL"/>
        </w:rPr>
        <w:t>,</w:t>
      </w:r>
      <w:r w:rsidRPr="00123088">
        <w:rPr>
          <w:szCs w:val="18"/>
          <w:lang w:val="pl-PL"/>
        </w:rPr>
        <w:t xml:space="preserve"> Zestawienie liczbowe lekarzy i lekarzy dentystów wg dziedziny i stopnia specjalizacji</w:t>
      </w:r>
    </w:p>
    <w:p w14:paraId="5425D3D3" w14:textId="77777777" w:rsidR="00AA6477" w:rsidRPr="00123088" w:rsidRDefault="00AA6477" w:rsidP="00123088">
      <w:pPr>
        <w:pStyle w:val="Tekstprzypisudolnego"/>
        <w:rPr>
          <w:lang w:val="pl-PL"/>
        </w:rPr>
      </w:pPr>
      <w:r w:rsidRPr="00123088">
        <w:rPr>
          <w:szCs w:val="18"/>
          <w:lang w:val="pl-PL"/>
        </w:rPr>
        <w:t>z uwzględnieniem podziału na lekarzy wykonujących i nie wykonujących zawodu - stan na 28.02.2016</w:t>
      </w:r>
    </w:p>
  </w:footnote>
  <w:footnote w:id="63">
    <w:p w14:paraId="70E84EF8" w14:textId="44435A77" w:rsidR="00AA6477" w:rsidRPr="003B6BF4" w:rsidRDefault="00AA6477">
      <w:pPr>
        <w:pStyle w:val="Tekstprzypisudolnego"/>
        <w:rPr>
          <w:szCs w:val="18"/>
          <w:lang w:val="pl-PL"/>
        </w:rPr>
      </w:pPr>
      <w:r w:rsidRPr="003B6BF4">
        <w:rPr>
          <w:rStyle w:val="Odwoanieprzypisudolnego"/>
          <w:sz w:val="18"/>
          <w:szCs w:val="18"/>
        </w:rPr>
        <w:footnoteRef/>
      </w:r>
      <w:r w:rsidRPr="003B6BF4">
        <w:rPr>
          <w:szCs w:val="18"/>
          <w:lang w:val="pl-PL"/>
        </w:rPr>
        <w:t xml:space="preserve"> Informacje pozyskane w kwietniu 2017 r. od Polskiego Towarzystwa Pielęgniarek Nefrologicznych.</w:t>
      </w:r>
    </w:p>
  </w:footnote>
  <w:footnote w:id="64">
    <w:p w14:paraId="008DEB12" w14:textId="0131947B" w:rsidR="00AA6477" w:rsidRPr="00160AEC" w:rsidRDefault="00AA6477">
      <w:pPr>
        <w:pStyle w:val="Tekstprzypisudolnego"/>
        <w:rPr>
          <w:lang w:val="pl-PL"/>
        </w:rPr>
      </w:pPr>
      <w:r w:rsidRPr="00160AEC">
        <w:rPr>
          <w:rStyle w:val="Odwoanieprzypisudolnego"/>
          <w:sz w:val="18"/>
          <w:szCs w:val="18"/>
        </w:rPr>
        <w:footnoteRef/>
      </w:r>
      <w:r w:rsidRPr="00160AEC">
        <w:rPr>
          <w:szCs w:val="18"/>
          <w:lang w:val="pl-PL"/>
        </w:rPr>
        <w:t xml:space="preserve"> </w:t>
      </w:r>
      <w:r>
        <w:rPr>
          <w:szCs w:val="18"/>
          <w:lang w:val="pl-PL"/>
        </w:rPr>
        <w:t xml:space="preserve">szczegóły w podrozdziale 4.6.1 </w:t>
      </w:r>
    </w:p>
  </w:footnote>
  <w:footnote w:id="65">
    <w:p w14:paraId="5F7FB32E" w14:textId="77777777" w:rsidR="00AA6477" w:rsidRPr="00A81925" w:rsidRDefault="00AA6477" w:rsidP="00310710">
      <w:pPr>
        <w:pStyle w:val="Tekstprzypisudolnego"/>
        <w:rPr>
          <w:szCs w:val="18"/>
          <w:lang w:val="pl-PL"/>
        </w:rPr>
      </w:pPr>
      <w:r w:rsidRPr="00A81925">
        <w:rPr>
          <w:rStyle w:val="Odwoanieprzypisudolnego"/>
          <w:sz w:val="18"/>
          <w:szCs w:val="18"/>
        </w:rPr>
        <w:footnoteRef/>
      </w:r>
      <w:r w:rsidRPr="00A81925">
        <w:rPr>
          <w:szCs w:val="18"/>
          <w:lang w:val="pl-PL"/>
        </w:rPr>
        <w:t xml:space="preserve"> Zalecenia dotyczące zatrudnienia w zespołach personelu stacji dializ dietetyków, psychologów i fizjoterapeutów w: Załuska W., Klinger M., Kusztal M. et al., Rekomendacje Grupy Roboczej Polskiego Towarzystwa Nefrologicznego dotyczące kryteriów jakości leczenia dializami pacjentów z powodu schyłkowej niewydolności nerek. Nefrologia i Dializoterapia Polska 2015; 19 (1): 6-11.</w:t>
      </w:r>
    </w:p>
  </w:footnote>
  <w:footnote w:id="66">
    <w:p w14:paraId="4109DAE8" w14:textId="77777777" w:rsidR="00AA6477" w:rsidRPr="004E62AC" w:rsidRDefault="00AA6477" w:rsidP="00E63442">
      <w:pPr>
        <w:pStyle w:val="Tekstprzypisudolnego"/>
        <w:rPr>
          <w:lang w:val="pl-PL"/>
        </w:rPr>
      </w:pPr>
      <w:r>
        <w:rPr>
          <w:rStyle w:val="Odwoanieprzypisudolnego"/>
        </w:rPr>
        <w:footnoteRef/>
      </w:r>
      <w:r w:rsidRPr="004E62AC">
        <w:rPr>
          <w:lang w:val="pl-PL"/>
        </w:rPr>
        <w:t xml:space="preserve"> </w:t>
      </w:r>
      <w:r>
        <w:rPr>
          <w:lang w:val="pl-PL"/>
        </w:rPr>
        <w:t>W. Weyde, M. Krajewska, M.</w:t>
      </w:r>
      <w:r w:rsidRPr="00E63442">
        <w:rPr>
          <w:lang w:val="pl-PL"/>
        </w:rPr>
        <w:t xml:space="preserve"> Klinger</w:t>
      </w:r>
      <w:r>
        <w:rPr>
          <w:lang w:val="pl-PL"/>
        </w:rPr>
        <w:t xml:space="preserve">, </w:t>
      </w:r>
      <w:r w:rsidRPr="00E63442">
        <w:rPr>
          <w:lang w:val="pl-PL"/>
        </w:rPr>
        <w:t>Dostęp naczyniowy do hemodializy</w:t>
      </w:r>
      <w:r>
        <w:rPr>
          <w:lang w:val="pl-PL"/>
        </w:rPr>
        <w:t>, Forum Nefrologiczne 2008, tom 1, nr 3, 119–126</w:t>
      </w:r>
    </w:p>
  </w:footnote>
  <w:footnote w:id="67">
    <w:p w14:paraId="321FCA80" w14:textId="6D5F3243" w:rsidR="00AA6477" w:rsidRPr="00682F2C" w:rsidRDefault="00AA6477">
      <w:pPr>
        <w:pStyle w:val="Tekstprzypisudolnego"/>
        <w:rPr>
          <w:szCs w:val="18"/>
          <w:lang w:val="pl-PL"/>
        </w:rPr>
      </w:pPr>
      <w:r w:rsidRPr="00682F2C">
        <w:rPr>
          <w:rStyle w:val="Odwoanieprzypisudolnego"/>
          <w:sz w:val="18"/>
          <w:szCs w:val="18"/>
        </w:rPr>
        <w:footnoteRef/>
      </w:r>
      <w:r w:rsidRPr="00682F2C">
        <w:rPr>
          <w:szCs w:val="18"/>
          <w:lang w:val="pl-PL"/>
        </w:rPr>
        <w:t xml:space="preserve"> </w:t>
      </w:r>
      <w:r>
        <w:rPr>
          <w:szCs w:val="18"/>
          <w:lang w:val="pl-PL"/>
        </w:rPr>
        <w:t>Moduł B - opieka koordynowana + opisana</w:t>
      </w:r>
      <w:r w:rsidRPr="00682F2C">
        <w:rPr>
          <w:szCs w:val="18"/>
          <w:lang w:val="pl-PL"/>
        </w:rPr>
        <w:t xml:space="preserve"> w podrozdziale 4.6.</w:t>
      </w:r>
      <w:r>
        <w:rPr>
          <w:szCs w:val="18"/>
          <w:lang w:val="pl-PL"/>
        </w:rPr>
        <w:t>2</w:t>
      </w:r>
    </w:p>
  </w:footnote>
  <w:footnote w:id="68">
    <w:p w14:paraId="08A870A3" w14:textId="77777777" w:rsidR="00AA6477" w:rsidRPr="00682F2C" w:rsidRDefault="00AA6477">
      <w:pPr>
        <w:pStyle w:val="Tekstprzypisudolnego"/>
        <w:rPr>
          <w:lang w:val="pl-PL"/>
        </w:rPr>
      </w:pPr>
      <w:r w:rsidRPr="00682F2C">
        <w:rPr>
          <w:rStyle w:val="Odwoanieprzypisudolnego"/>
          <w:sz w:val="18"/>
          <w:szCs w:val="18"/>
        </w:rPr>
        <w:footnoteRef/>
      </w:r>
      <w:r w:rsidRPr="00682F2C">
        <w:rPr>
          <w:szCs w:val="18"/>
          <w:lang w:val="pl-PL"/>
        </w:rPr>
        <w:t xml:space="preserve"> http://www.rand.org/health/surveys_tools/kdqol.html (dostęp 24.03.2017)</w:t>
      </w:r>
    </w:p>
  </w:footnote>
  <w:footnote w:id="69">
    <w:p w14:paraId="40F5D26A" w14:textId="0C44CC4E" w:rsidR="00AA6477" w:rsidRPr="006314E5" w:rsidRDefault="00AA6477">
      <w:pPr>
        <w:pStyle w:val="Tekstprzypisudolnego"/>
        <w:rPr>
          <w:szCs w:val="18"/>
          <w:lang w:val="pl-PL"/>
        </w:rPr>
      </w:pPr>
      <w:r w:rsidRPr="006314E5">
        <w:rPr>
          <w:rStyle w:val="Odwoanieprzypisudolnego"/>
          <w:sz w:val="18"/>
          <w:szCs w:val="18"/>
        </w:rPr>
        <w:footnoteRef/>
      </w:r>
      <w:r w:rsidRPr="006314E5">
        <w:rPr>
          <w:szCs w:val="18"/>
          <w:lang w:val="pl-PL"/>
        </w:rPr>
        <w:t xml:space="preserve"> </w:t>
      </w:r>
      <w:r>
        <w:rPr>
          <w:szCs w:val="18"/>
          <w:lang w:val="pl-PL"/>
        </w:rPr>
        <w:t>Moduł C – szczegóły w podrozdzial</w:t>
      </w:r>
      <w:r w:rsidRPr="006314E5">
        <w:rPr>
          <w:szCs w:val="18"/>
          <w:lang w:val="pl-PL"/>
        </w:rPr>
        <w:t>e 4.6.</w:t>
      </w:r>
      <w:r>
        <w:rPr>
          <w:szCs w:val="18"/>
          <w:lang w:val="pl-PL"/>
        </w:rPr>
        <w:t>3</w:t>
      </w:r>
    </w:p>
  </w:footnote>
  <w:footnote w:id="70">
    <w:p w14:paraId="634A9854" w14:textId="77777777" w:rsidR="00AA6477" w:rsidRPr="00783261" w:rsidRDefault="00AA6477" w:rsidP="00477F06">
      <w:pPr>
        <w:pStyle w:val="Tekstprzypisudolnego"/>
        <w:rPr>
          <w:szCs w:val="18"/>
          <w:lang w:val="pl-PL"/>
        </w:rPr>
      </w:pPr>
      <w:r w:rsidRPr="000A66BF">
        <w:rPr>
          <w:rStyle w:val="Odwoanieprzypisudolnego"/>
          <w:sz w:val="18"/>
          <w:szCs w:val="18"/>
        </w:rPr>
        <w:footnoteRef/>
      </w:r>
      <w:r w:rsidRPr="00AB7423">
        <w:rPr>
          <w:szCs w:val="18"/>
          <w:lang w:val="pl-PL"/>
        </w:rPr>
        <w:t xml:space="preserve"> Zalecenia dotyczące zatrudnienia w zespołach personelu stacji dializ dietetyków, psychologów i fizjoterapeutów w: Załuska W., Klinger M., Kusztal M. et al., Rekomendacje Grupy Roboczej Polskiego Towarzystwa Nefrologicznego dotyczące kryteriów jakości lecz</w:t>
      </w:r>
      <w:r w:rsidRPr="005B66E7">
        <w:rPr>
          <w:szCs w:val="18"/>
          <w:lang w:val="pl-PL"/>
        </w:rPr>
        <w:t>enia dializami pacjentów z powodu schyłkowej niewydolności nerek. Nefrologia i Dializoterapia Polska 2015; 19 (1): 6-11.</w:t>
      </w:r>
    </w:p>
  </w:footnote>
  <w:footnote w:id="71">
    <w:p w14:paraId="2F0E3FB1" w14:textId="77777777" w:rsidR="00AA6477" w:rsidRPr="00F9019B" w:rsidRDefault="00AA6477">
      <w:pPr>
        <w:pStyle w:val="Tekstprzypisudolnego"/>
        <w:rPr>
          <w:szCs w:val="18"/>
          <w:lang w:val="pl-PL"/>
        </w:rPr>
      </w:pPr>
      <w:r w:rsidRPr="00F9019B">
        <w:rPr>
          <w:rStyle w:val="Odwoanieprzypisudolnego"/>
          <w:sz w:val="18"/>
          <w:szCs w:val="18"/>
        </w:rPr>
        <w:footnoteRef/>
      </w:r>
      <w:r w:rsidRPr="00F9019B">
        <w:rPr>
          <w:szCs w:val="18"/>
          <w:lang w:val="pl-PL"/>
        </w:rPr>
        <w:t>http://www.mz.gov.pl/aktualnosci/rejestry-medyczne-posluza-ocenie-jakosci-i-skutecznosci-leczenia/ (dostęp 14.03.2017)</w:t>
      </w:r>
    </w:p>
  </w:footnote>
  <w:footnote w:id="72">
    <w:p w14:paraId="50AE27B7" w14:textId="77777777" w:rsidR="00AA6477" w:rsidRPr="00F9019B" w:rsidRDefault="00AA6477">
      <w:pPr>
        <w:pStyle w:val="Tekstprzypisudolnego"/>
        <w:rPr>
          <w:szCs w:val="18"/>
          <w:lang w:val="pl-PL"/>
        </w:rPr>
      </w:pPr>
      <w:r w:rsidRPr="00F9019B">
        <w:rPr>
          <w:rStyle w:val="Odwoanieprzypisudolnego"/>
          <w:sz w:val="18"/>
          <w:szCs w:val="18"/>
        </w:rPr>
        <w:footnoteRef/>
      </w:r>
      <w:r w:rsidRPr="00F9019B">
        <w:rPr>
          <w:szCs w:val="18"/>
          <w:lang w:val="pl-PL"/>
        </w:rPr>
        <w:t>http://www.mz.gov.pl/aktualnosci/rejestry-medyczne-posluza-ocenie-jakosci-i-skutecznosci-leczenia/ (dostęp 14.03.2017)</w:t>
      </w:r>
    </w:p>
  </w:footnote>
  <w:footnote w:id="73">
    <w:p w14:paraId="44367D15" w14:textId="77777777" w:rsidR="00AA6477" w:rsidRPr="004E62AC" w:rsidRDefault="00AA6477">
      <w:pPr>
        <w:pStyle w:val="Tekstprzypisudolnego"/>
        <w:rPr>
          <w:lang w:val="pl-PL"/>
        </w:rPr>
      </w:pPr>
      <w:r w:rsidRPr="00F9019B">
        <w:rPr>
          <w:rStyle w:val="Odwoanieprzypisudolnego"/>
          <w:sz w:val="18"/>
          <w:szCs w:val="18"/>
        </w:rPr>
        <w:footnoteRef/>
      </w:r>
      <w:r w:rsidRPr="00F9019B">
        <w:rPr>
          <w:szCs w:val="18"/>
          <w:lang w:val="pl-PL"/>
        </w:rPr>
        <w:t>http://www.mz.gov.pl/aktualnosci/rejestry-medyczne-posluza-ocenie-jakosci-i-skutecznosci-leczenia/ (dostęp 14.03.2017)</w:t>
      </w:r>
    </w:p>
  </w:footnote>
  <w:footnote w:id="74">
    <w:p w14:paraId="79697427" w14:textId="77777777" w:rsidR="00AA6477" w:rsidRPr="004E62AC" w:rsidRDefault="00AA6477">
      <w:pPr>
        <w:pStyle w:val="Tekstprzypisudolnego"/>
        <w:rPr>
          <w:lang w:val="pl-PL"/>
        </w:rPr>
      </w:pPr>
      <w:r>
        <w:rPr>
          <w:rStyle w:val="Odwoanieprzypisudolnego"/>
        </w:rPr>
        <w:footnoteRef/>
      </w:r>
      <w:r w:rsidRPr="004E62AC">
        <w:rPr>
          <w:lang w:val="pl-PL"/>
        </w:rPr>
        <w:t xml:space="preserve"> </w:t>
      </w:r>
      <w:r>
        <w:rPr>
          <w:lang w:val="pl-PL"/>
        </w:rPr>
        <w:t>Za wyjątkiem przyjętej taryfy hemodializy, dla której przyjęto stawkę</w:t>
      </w:r>
      <w:r w:rsidRPr="00262E3A">
        <w:rPr>
          <w:lang w:val="pl-PL"/>
        </w:rPr>
        <w:t xml:space="preserve"> </w:t>
      </w:r>
      <w:r>
        <w:rPr>
          <w:lang w:val="pl-PL"/>
        </w:rPr>
        <w:t>obowiązującą w 2017 r.</w:t>
      </w:r>
    </w:p>
  </w:footnote>
  <w:footnote w:id="75">
    <w:p w14:paraId="5D9A0117" w14:textId="465E8EB9" w:rsidR="00AA6477" w:rsidRPr="004E62AC" w:rsidRDefault="00AA6477">
      <w:pPr>
        <w:pStyle w:val="Tekstprzypisudolnego"/>
        <w:rPr>
          <w:lang w:val="pl-PL"/>
        </w:rPr>
      </w:pPr>
      <w:r>
        <w:rPr>
          <w:rStyle w:val="Odwoanieprzypisudolnego"/>
        </w:rPr>
        <w:footnoteRef/>
      </w:r>
      <w:r w:rsidRPr="004E62AC">
        <w:rPr>
          <w:lang w:val="pl-PL"/>
        </w:rPr>
        <w:t xml:space="preserve"> </w:t>
      </w:r>
      <w:r>
        <w:rPr>
          <w:lang w:val="pl-PL"/>
        </w:rPr>
        <w:t>Przeanalizowano taryfy za lata 2010 -2016. Do połowy 2016 obowiązywała taryfa hemodializy w wysokości 414 PLN. Została zmieniona o</w:t>
      </w:r>
      <w:r w:rsidRPr="00D73B5E">
        <w:rPr>
          <w:lang w:val="pl-PL"/>
        </w:rPr>
        <w:t>bwieszczenie</w:t>
      </w:r>
      <w:r>
        <w:rPr>
          <w:lang w:val="pl-PL"/>
        </w:rPr>
        <w:t>m</w:t>
      </w:r>
      <w:r w:rsidRPr="00D73B5E">
        <w:rPr>
          <w:lang w:val="pl-PL"/>
        </w:rPr>
        <w:t xml:space="preserve"> Prezesa Agencji Oceny Technologii Medycznych i Taryfikacji z dnia 29 czerwca 2016 r. w sprawie taryf świadczeń gwarantowanych w rodzaju ambul</w:t>
      </w:r>
      <w:r>
        <w:rPr>
          <w:lang w:val="pl-PL"/>
        </w:rPr>
        <w:t>atoryjna opieka specjalistyczna, w której wyceniono ją na 34,82 pkt, czyli na 398 PLN. W analizie przyjęto aktualnie obowiązującą taryfę.</w:t>
      </w:r>
    </w:p>
  </w:footnote>
  <w:footnote w:id="76">
    <w:p w14:paraId="7828B22F" w14:textId="77777777" w:rsidR="00AA6477" w:rsidRPr="00326B26" w:rsidRDefault="00AA6477">
      <w:pPr>
        <w:pStyle w:val="Tekstprzypisudolnego"/>
        <w:rPr>
          <w:szCs w:val="18"/>
          <w:lang w:val="pl-PL"/>
        </w:rPr>
      </w:pPr>
      <w:r w:rsidRPr="00326B26">
        <w:rPr>
          <w:rStyle w:val="Odwoanieprzypisudolnego"/>
          <w:sz w:val="18"/>
          <w:szCs w:val="18"/>
        </w:rPr>
        <w:footnoteRef/>
      </w:r>
      <w:r w:rsidRPr="00326B26">
        <w:rPr>
          <w:szCs w:val="18"/>
          <w:lang w:val="pl-PL"/>
        </w:rPr>
        <w:t xml:space="preserve">  Zdaniem Grupy Roboczej Konsultanta Krajowego ds. hemodiafiltracji, </w:t>
      </w:r>
      <w:r>
        <w:rPr>
          <w:szCs w:val="18"/>
          <w:lang w:val="pl-PL"/>
        </w:rPr>
        <w:t>h</w:t>
      </w:r>
      <w:r w:rsidRPr="00326B26">
        <w:rPr>
          <w:szCs w:val="18"/>
          <w:lang w:val="pl-PL"/>
        </w:rPr>
        <w:t>emodiafiltracja jest interwencją wymagającą większych nakładów finansowych w porównaniu z klasyczną hemodializą. Dodatkowe koszty to m.in. konieczność używania odpowiednich aparatów, umożliwiających prowadzenie zabiegów w trybie HDF, używania wysokoprzepływowych dializatorów, możliwości przygotowania ultraczystej wody i d</w:t>
      </w:r>
      <w:r>
        <w:rPr>
          <w:szCs w:val="18"/>
          <w:lang w:val="pl-PL"/>
        </w:rPr>
        <w:t>ializatu oraz większego zużycia</w:t>
      </w:r>
      <w:r w:rsidRPr="00326B26">
        <w:rPr>
          <w:szCs w:val="18"/>
          <w:lang w:val="pl-PL"/>
        </w:rPr>
        <w:t xml:space="preserve"> mediów. Zdaniem ekspertów wycena te</w:t>
      </w:r>
      <w:r>
        <w:rPr>
          <w:szCs w:val="18"/>
          <w:lang w:val="pl-PL"/>
        </w:rPr>
        <w:t xml:space="preserve">go zabiegu powinna być </w:t>
      </w:r>
      <w:r w:rsidRPr="00326B26">
        <w:rPr>
          <w:szCs w:val="18"/>
          <w:lang w:val="pl-PL"/>
        </w:rPr>
        <w:t>o ok. 23-29% wyższa względem hemodializy</w:t>
      </w:r>
      <w:r>
        <w:rPr>
          <w:szCs w:val="18"/>
          <w:lang w:val="pl-PL"/>
        </w:rPr>
        <w:t xml:space="preserve"> </w:t>
      </w:r>
      <w:r w:rsidRPr="00326B26">
        <w:rPr>
          <w:szCs w:val="18"/>
          <w:lang w:val="pl-PL"/>
        </w:rPr>
        <w:t>w porównaniu do kosztów hemodializy.</w:t>
      </w:r>
    </w:p>
  </w:footnote>
  <w:footnote w:id="77">
    <w:p w14:paraId="4042BB8F" w14:textId="4305BF3C" w:rsidR="00AA6477" w:rsidRPr="00835025" w:rsidRDefault="00AA6477">
      <w:pPr>
        <w:pStyle w:val="Tekstprzypisudolnego"/>
        <w:rPr>
          <w:lang w:val="pl-PL"/>
        </w:rPr>
      </w:pPr>
      <w:r>
        <w:rPr>
          <w:rStyle w:val="Odwoanieprzypisudolnego"/>
        </w:rPr>
        <w:footnoteRef/>
      </w:r>
      <w:r w:rsidRPr="00835025">
        <w:rPr>
          <w:lang w:val="pl-PL"/>
        </w:rPr>
        <w:t xml:space="preserve"> </w:t>
      </w:r>
      <w:r>
        <w:rPr>
          <w:lang w:val="pl-PL"/>
        </w:rPr>
        <w:t>Porada powinna być realizowana w te same dni, w których pacjent jest dializowany.</w:t>
      </w:r>
    </w:p>
  </w:footnote>
  <w:footnote w:id="78">
    <w:p w14:paraId="4B28F1A6" w14:textId="77777777" w:rsidR="00AA6477" w:rsidRPr="0076185D" w:rsidRDefault="00AA6477">
      <w:pPr>
        <w:pStyle w:val="Tekstprzypisudolnego"/>
        <w:rPr>
          <w:szCs w:val="18"/>
          <w:lang w:val="pl-PL"/>
        </w:rPr>
      </w:pPr>
      <w:r w:rsidRPr="0076185D">
        <w:rPr>
          <w:rStyle w:val="Odwoanieprzypisudolnego"/>
          <w:sz w:val="18"/>
          <w:szCs w:val="18"/>
        </w:rPr>
        <w:footnoteRef/>
      </w:r>
      <w:r w:rsidRPr="0076185D">
        <w:rPr>
          <w:szCs w:val="18"/>
          <w:lang w:val="pl-PL"/>
        </w:rPr>
        <w:t xml:space="preserve"> Grupa Robocza PTN pod przewodnictwem Wojciecha Załuski, Rekomendacje Grupy Roboczej Polskiego Towarzystwa Nefrologicznego dotyczące kryteriów jakości leczenia dializami pacjentów z powodu schyłkowej niewydolności nerek, 2015</w:t>
      </w:r>
    </w:p>
  </w:footnote>
  <w:footnote w:id="79">
    <w:p w14:paraId="1FC54D79" w14:textId="77777777" w:rsidR="00AA6477" w:rsidRPr="00704833" w:rsidRDefault="00AA6477">
      <w:pPr>
        <w:pStyle w:val="Tekstprzypisudolnego"/>
        <w:rPr>
          <w:lang w:val="pl-PL"/>
        </w:rPr>
      </w:pPr>
      <w:r>
        <w:rPr>
          <w:rStyle w:val="Odwoanieprzypisudolnego"/>
        </w:rPr>
        <w:footnoteRef/>
      </w:r>
      <w:r w:rsidRPr="00704833">
        <w:rPr>
          <w:lang w:val="pl-PL"/>
        </w:rPr>
        <w:t xml:space="preserve"> </w:t>
      </w:r>
      <w:r>
        <w:rPr>
          <w:lang w:val="pl-PL"/>
        </w:rPr>
        <w:t>Raport EY, Sprawne Państwo, Koordynowana Opieka Zdrowotna. Doświadczenia międzynarodowe, propozycje dla Polski,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2E751" w14:textId="77777777" w:rsidR="00AA6477" w:rsidRPr="00856E5F" w:rsidRDefault="00AA6477" w:rsidP="00856E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2EAA"/>
    <w:multiLevelType w:val="hybridMultilevel"/>
    <w:tmpl w:val="DED67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514A8"/>
    <w:multiLevelType w:val="multilevel"/>
    <w:tmpl w:val="46C45430"/>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0B264F6D"/>
    <w:multiLevelType w:val="hybridMultilevel"/>
    <w:tmpl w:val="9DA2D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830736"/>
    <w:multiLevelType w:val="hybridMultilevel"/>
    <w:tmpl w:val="BD90C8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5F97D75"/>
    <w:multiLevelType w:val="hybridMultilevel"/>
    <w:tmpl w:val="0FB0104E"/>
    <w:lvl w:ilvl="0" w:tplc="7388CD34">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4A0F1D"/>
    <w:multiLevelType w:val="multilevel"/>
    <w:tmpl w:val="15F80EE2"/>
    <w:lvl w:ilvl="0">
      <w:start w:val="1"/>
      <w:numFmt w:val="upperRoman"/>
      <w:pStyle w:val="Nagwek1"/>
      <w:lvlText w:val="%1."/>
      <w:lvlJc w:val="left"/>
      <w:pPr>
        <w:tabs>
          <w:tab w:val="num" w:pos="360"/>
        </w:tabs>
        <w:ind w:left="0" w:firstLine="0"/>
      </w:pPr>
      <w:rPr>
        <w:rFonts w:hint="default"/>
      </w:rPr>
    </w:lvl>
    <w:lvl w:ilvl="1">
      <w:start w:val="1"/>
      <w:numFmt w:val="upperLetter"/>
      <w:pStyle w:val="Nagwek2"/>
      <w:lvlText w:val="%2."/>
      <w:lvlJc w:val="left"/>
      <w:pPr>
        <w:tabs>
          <w:tab w:val="num" w:pos="1080"/>
        </w:tabs>
        <w:ind w:left="720" w:firstLine="0"/>
      </w:pPr>
      <w:rPr>
        <w:rFonts w:hint="default"/>
      </w:rPr>
    </w:lvl>
    <w:lvl w:ilvl="2">
      <w:start w:val="1"/>
      <w:numFmt w:val="decimal"/>
      <w:pStyle w:val="Nagwek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8381661"/>
    <w:multiLevelType w:val="hybridMultilevel"/>
    <w:tmpl w:val="9E2681F2"/>
    <w:lvl w:ilvl="0" w:tplc="C8421032">
      <w:start w:val="87"/>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9D452A"/>
    <w:multiLevelType w:val="multilevel"/>
    <w:tmpl w:val="085039FA"/>
    <w:lvl w:ilvl="0">
      <w:start w:val="1"/>
      <w:numFmt w:val="bullet"/>
      <w:lvlText w:val="►"/>
      <w:lvlJc w:val="left"/>
      <w:pPr>
        <w:tabs>
          <w:tab w:val="num" w:pos="288"/>
        </w:tabs>
        <w:ind w:left="288" w:hanging="288"/>
      </w:pPr>
      <w:rPr>
        <w:rFonts w:ascii="Arial" w:hAnsi="Arial" w:hint="default"/>
        <w:b w:val="0"/>
        <w:i w:val="0"/>
        <w:color w:val="FFE600"/>
        <w:w w:val="75"/>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E6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8" w15:restartNumberingAfterBreak="0">
    <w:nsid w:val="33E75DFA"/>
    <w:multiLevelType w:val="hybridMultilevel"/>
    <w:tmpl w:val="7F1C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D03"/>
    <w:multiLevelType w:val="hybridMultilevel"/>
    <w:tmpl w:val="5F6406C2"/>
    <w:lvl w:ilvl="0" w:tplc="D37E0C7C">
      <w:numFmt w:val="bullet"/>
      <w:lvlText w:val=""/>
      <w:lvlJc w:val="left"/>
      <w:pPr>
        <w:ind w:left="936" w:hanging="360"/>
      </w:pPr>
      <w:rPr>
        <w:rFonts w:ascii="Symbol" w:eastAsia="Calibri" w:hAnsi="Symbol" w:cs="Times New Roman"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0" w15:restartNumberingAfterBreak="0">
    <w:nsid w:val="3A6900E0"/>
    <w:multiLevelType w:val="multilevel"/>
    <w:tmpl w:val="8F74E264"/>
    <w:lvl w:ilvl="0">
      <w:start w:val="1"/>
      <w:numFmt w:val="decimal"/>
      <w:lvlText w:val="%1."/>
      <w:lvlJc w:val="left"/>
      <w:pPr>
        <w:tabs>
          <w:tab w:val="num" w:pos="288"/>
        </w:tabs>
        <w:ind w:left="288" w:hanging="288"/>
      </w:pPr>
      <w:rPr>
        <w:rFonts w:hint="default"/>
        <w:b w:val="0"/>
        <w:i w:val="0"/>
        <w:color w:val="auto"/>
        <w:w w:val="75"/>
        <w:sz w:val="20"/>
        <w:szCs w:val="24"/>
      </w:rPr>
    </w:lvl>
    <w:lvl w:ilvl="1">
      <w:start w:val="1"/>
      <w:numFmt w:val="bullet"/>
      <w:lvlText w:val="•"/>
      <w:lvlJc w:val="left"/>
      <w:pPr>
        <w:tabs>
          <w:tab w:val="num" w:pos="576"/>
        </w:tabs>
        <w:ind w:left="576" w:hanging="288"/>
      </w:pPr>
      <w:rPr>
        <w:rFonts w:ascii="EYInterstate Light" w:hAnsi="EYInterstate Light" w:hint="default"/>
        <w:b w:val="0"/>
        <w:i w:val="0"/>
        <w:color w:val="FFE6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1"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12" w15:restartNumberingAfterBreak="0">
    <w:nsid w:val="3CAD7C82"/>
    <w:multiLevelType w:val="multilevel"/>
    <w:tmpl w:val="6AE2E898"/>
    <w:lvl w:ilvl="0">
      <w:start w:val="1"/>
      <w:numFmt w:val="bullet"/>
      <w:pStyle w:val="EYBulletedList1"/>
      <w:lvlText w:val="•"/>
      <w:lvlJc w:val="left"/>
      <w:pPr>
        <w:tabs>
          <w:tab w:val="num" w:pos="288"/>
        </w:tabs>
        <w:ind w:left="288" w:hanging="288"/>
      </w:pPr>
      <w:rPr>
        <w:rFonts w:ascii="EYInterstate Light" w:hAnsi="EYInterstate Light" w:hint="default"/>
        <w:b w:val="0"/>
        <w:i w:val="0"/>
        <w:color w:val="FFE6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E6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E6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3" w15:restartNumberingAfterBreak="0">
    <w:nsid w:val="4F292EDA"/>
    <w:multiLevelType w:val="hybridMultilevel"/>
    <w:tmpl w:val="D55A7640"/>
    <w:lvl w:ilvl="0" w:tplc="04090001">
      <w:start w:val="8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D3CEE"/>
    <w:multiLevelType w:val="multilevel"/>
    <w:tmpl w:val="DE26DC9E"/>
    <w:lvl w:ilvl="0">
      <w:numFmt w:val="none"/>
      <w:lvlText w:val=""/>
      <w:lvlJc w:val="left"/>
      <w:pPr>
        <w:tabs>
          <w:tab w:val="num" w:pos="360"/>
        </w:tabs>
      </w:pPr>
    </w:lvl>
    <w:lvl w:ilvl="1">
      <w:start w:val="1"/>
      <w:numFmt w:val="decimal"/>
      <w:lvlText w:val="%1.%2"/>
      <w:lvlJc w:val="left"/>
      <w:pPr>
        <w:tabs>
          <w:tab w:val="num" w:pos="0"/>
        </w:tabs>
        <w:ind w:left="0" w:hanging="850"/>
      </w:pPr>
      <w:rPr>
        <w:rFonts w:ascii="Arial" w:hAnsi="Arial" w:cs="Arial" w:hint="default"/>
        <w:b/>
        <w:i w:val="0"/>
        <w:color w:val="000000"/>
        <w:sz w:val="28"/>
        <w:szCs w:val="14"/>
      </w:rPr>
    </w:lvl>
    <w:lvl w:ilvl="2">
      <w:start w:val="1"/>
      <w:numFmt w:val="decimal"/>
      <w:lvlText w:val="%1.%2.%3"/>
      <w:lvlJc w:val="left"/>
      <w:pPr>
        <w:tabs>
          <w:tab w:val="num" w:pos="0"/>
        </w:tabs>
        <w:ind w:left="0" w:hanging="850"/>
      </w:pPr>
      <w:rPr>
        <w:rFonts w:hint="default"/>
        <w:b/>
        <w:color w:val="000000"/>
        <w:sz w:val="24"/>
        <w:szCs w:val="14"/>
      </w:rPr>
    </w:lvl>
    <w:lvl w:ilvl="3">
      <w:start w:val="1"/>
      <w:numFmt w:val="decimal"/>
      <w:pStyle w:val="Nagwek4"/>
      <w:lvlText w:val="%1.%2.%3.%4"/>
      <w:lvlJc w:val="left"/>
      <w:pPr>
        <w:tabs>
          <w:tab w:val="num" w:pos="0"/>
        </w:tabs>
        <w:ind w:left="0" w:hanging="850"/>
      </w:pPr>
      <w:rPr>
        <w:rFonts w:hint="default"/>
        <w:b/>
        <w:color w:val="000000"/>
        <w:sz w:val="20"/>
        <w:szCs w:val="32"/>
      </w:rPr>
    </w:lvl>
    <w:lvl w:ilvl="4">
      <w:start w:val="1"/>
      <w:numFmt w:val="upperLetter"/>
      <w:lvlText w:val="Appendix %5"/>
      <w:lvlJc w:val="left"/>
      <w:pPr>
        <w:tabs>
          <w:tab w:val="num" w:pos="1417"/>
        </w:tabs>
        <w:ind w:left="1417" w:hanging="1417"/>
      </w:pPr>
      <w:rPr>
        <w:rFonts w:hint="default"/>
        <w:b/>
        <w:i w:val="0"/>
        <w:color w:val="7F7E82"/>
        <w:sz w:val="40"/>
        <w:szCs w:val="20"/>
      </w:rPr>
    </w:lvl>
    <w:lvl w:ilvl="5">
      <w:start w:val="1"/>
      <w:numFmt w:val="none"/>
      <w:lvlText w:val=""/>
      <w:lvlJc w:val="left"/>
      <w:pPr>
        <w:tabs>
          <w:tab w:val="num" w:pos="0"/>
        </w:tabs>
        <w:ind w:left="0" w:firstLine="0"/>
      </w:pPr>
      <w:rPr>
        <w:rFonts w:hint="default"/>
        <w:b/>
        <w:color w:val="7F7E82"/>
        <w:sz w:val="32"/>
        <w:szCs w:val="32"/>
      </w:rPr>
    </w:lvl>
    <w:lvl w:ilvl="6">
      <w:start w:val="1"/>
      <w:numFmt w:val="none"/>
      <w:lvlText w:val=""/>
      <w:lvlJc w:val="left"/>
      <w:pPr>
        <w:tabs>
          <w:tab w:val="num" w:pos="0"/>
        </w:tabs>
        <w:ind w:left="0" w:firstLine="0"/>
      </w:pPr>
      <w:rPr>
        <w:rFonts w:hint="default"/>
        <w:color w:val="4367C5"/>
        <w:sz w:val="32"/>
        <w:szCs w:val="32"/>
      </w:rPr>
    </w:lvl>
    <w:lvl w:ilvl="7">
      <w:start w:val="1"/>
      <w:numFmt w:val="none"/>
      <w:lvlText w:val=""/>
      <w:lvlJc w:val="left"/>
      <w:pPr>
        <w:tabs>
          <w:tab w:val="num" w:pos="0"/>
        </w:tabs>
        <w:ind w:left="0" w:firstLine="0"/>
      </w:pPr>
      <w:rPr>
        <w:rFonts w:hint="default"/>
        <w:color w:val="4367C5"/>
      </w:rPr>
    </w:lvl>
    <w:lvl w:ilvl="8">
      <w:start w:val="1"/>
      <w:numFmt w:val="none"/>
      <w:lvlText w:val=""/>
      <w:lvlJc w:val="left"/>
      <w:pPr>
        <w:tabs>
          <w:tab w:val="num" w:pos="0"/>
        </w:tabs>
        <w:ind w:left="0" w:firstLine="0"/>
      </w:pPr>
      <w:rPr>
        <w:rFonts w:hint="default"/>
        <w:color w:val="4367C5"/>
      </w:rPr>
    </w:lvl>
  </w:abstractNum>
  <w:abstractNum w:abstractNumId="15" w15:restartNumberingAfterBreak="0">
    <w:nsid w:val="517C3ADD"/>
    <w:multiLevelType w:val="hybridMultilevel"/>
    <w:tmpl w:val="A328B604"/>
    <w:lvl w:ilvl="0" w:tplc="C6B0D9D0">
      <w:numFmt w:val="bullet"/>
      <w:lvlText w:val=""/>
      <w:lvlJc w:val="left"/>
      <w:pPr>
        <w:ind w:left="936" w:hanging="360"/>
      </w:pPr>
      <w:rPr>
        <w:rFonts w:ascii="Symbol" w:eastAsia="Calibri" w:hAnsi="Symbol" w:cs="Times New Roman"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6" w15:restartNumberingAfterBreak="0">
    <w:nsid w:val="58B277D7"/>
    <w:multiLevelType w:val="multilevel"/>
    <w:tmpl w:val="07B8786A"/>
    <w:name w:val="my list"/>
    <w:lvl w:ilvl="0">
      <w:numFmt w:val="none"/>
      <w:lvlText w:val=""/>
      <w:lvlJc w:val="left"/>
      <w:pPr>
        <w:tabs>
          <w:tab w:val="num" w:pos="360"/>
        </w:tabs>
      </w:pPr>
    </w:lvl>
    <w:lvl w:ilvl="1">
      <w:start w:val="1"/>
      <w:numFmt w:val="decimal"/>
      <w:lvlRestart w:val="0"/>
      <w:lvlText w:val="%1.%2"/>
      <w:lvlJc w:val="left"/>
      <w:pPr>
        <w:tabs>
          <w:tab w:val="num" w:pos="1"/>
        </w:tabs>
        <w:ind w:left="1" w:hanging="851"/>
      </w:pPr>
      <w:rPr>
        <w:rFonts w:hint="default"/>
        <w:b/>
        <w:i w:val="0"/>
        <w:color w:val="000000"/>
        <w:sz w:val="28"/>
      </w:rPr>
    </w:lvl>
    <w:lvl w:ilvl="2">
      <w:start w:val="1"/>
      <w:numFmt w:val="decimal"/>
      <w:lvlRestart w:val="0"/>
      <w:lvlText w:val="%1.%2.%3"/>
      <w:lvlJc w:val="left"/>
      <w:pPr>
        <w:tabs>
          <w:tab w:val="num" w:pos="1"/>
        </w:tabs>
        <w:ind w:left="1" w:hanging="851"/>
      </w:pPr>
      <w:rPr>
        <w:rFonts w:hint="default"/>
        <w:b/>
        <w:i w:val="0"/>
        <w:color w:val="000000"/>
        <w:sz w:val="24"/>
      </w:rPr>
    </w:lvl>
    <w:lvl w:ilvl="3">
      <w:start w:val="1"/>
      <w:numFmt w:val="decimal"/>
      <w:lvlRestart w:val="0"/>
      <w:lvlText w:val="%1.%2.%3.%4"/>
      <w:lvlJc w:val="left"/>
      <w:pPr>
        <w:tabs>
          <w:tab w:val="num" w:pos="1"/>
        </w:tabs>
        <w:ind w:left="1" w:hanging="851"/>
      </w:pPr>
      <w:rPr>
        <w:rFonts w:hint="default"/>
        <w:b/>
        <w:i w:val="0"/>
        <w:color w:val="000000"/>
        <w:sz w:val="20"/>
      </w:rPr>
    </w:lvl>
    <w:lvl w:ilvl="4">
      <w:start w:val="1"/>
      <w:numFmt w:val="none"/>
      <w:lvlText w:val=""/>
      <w:lvlJc w:val="left"/>
      <w:pPr>
        <w:tabs>
          <w:tab w:val="num" w:pos="1"/>
        </w:tabs>
        <w:ind w:left="1" w:firstLine="0"/>
      </w:pPr>
      <w:rPr>
        <w:rFonts w:hint="default"/>
        <w:b/>
        <w:color w:val="7F7E82"/>
        <w:sz w:val="20"/>
        <w:szCs w:val="20"/>
      </w:rPr>
    </w:lvl>
    <w:lvl w:ilvl="5">
      <w:start w:val="1"/>
      <w:numFmt w:val="none"/>
      <w:lvlText w:val=""/>
      <w:lvlJc w:val="left"/>
      <w:pPr>
        <w:tabs>
          <w:tab w:val="num" w:pos="1"/>
        </w:tabs>
        <w:ind w:left="1" w:firstLine="0"/>
      </w:pPr>
      <w:rPr>
        <w:rFonts w:hint="default"/>
        <w:color w:val="4367C5"/>
      </w:rPr>
    </w:lvl>
    <w:lvl w:ilvl="6">
      <w:start w:val="1"/>
      <w:numFmt w:val="none"/>
      <w:lvlText w:val=""/>
      <w:lvlJc w:val="left"/>
      <w:pPr>
        <w:tabs>
          <w:tab w:val="num" w:pos="1"/>
        </w:tabs>
        <w:ind w:left="1" w:firstLine="0"/>
      </w:pPr>
      <w:rPr>
        <w:rFonts w:hint="default"/>
        <w:color w:val="4367C5"/>
      </w:rPr>
    </w:lvl>
    <w:lvl w:ilvl="7">
      <w:start w:val="1"/>
      <w:numFmt w:val="none"/>
      <w:lvlText w:val=""/>
      <w:lvlJc w:val="left"/>
      <w:pPr>
        <w:tabs>
          <w:tab w:val="num" w:pos="1"/>
        </w:tabs>
        <w:ind w:left="1" w:firstLine="0"/>
      </w:pPr>
      <w:rPr>
        <w:rFonts w:hint="default"/>
        <w:color w:val="4367C5"/>
      </w:rPr>
    </w:lvl>
    <w:lvl w:ilvl="8">
      <w:start w:val="1"/>
      <w:numFmt w:val="none"/>
      <w:lvlText w:val=""/>
      <w:lvlJc w:val="left"/>
      <w:pPr>
        <w:tabs>
          <w:tab w:val="num" w:pos="1"/>
        </w:tabs>
        <w:ind w:left="1" w:firstLine="0"/>
      </w:pPr>
      <w:rPr>
        <w:rFonts w:hint="default"/>
        <w:color w:val="4367C5"/>
      </w:rPr>
    </w:lvl>
  </w:abstractNum>
  <w:abstractNum w:abstractNumId="17" w15:restartNumberingAfterBreak="0">
    <w:nsid w:val="640C5D09"/>
    <w:multiLevelType w:val="multilevel"/>
    <w:tmpl w:val="B746AD6A"/>
    <w:lvl w:ilvl="0">
      <w:start w:val="1"/>
      <w:numFmt w:val="upperLetter"/>
      <w:pStyle w:val="EYAppendix"/>
      <w:lvlText w:val="Appendix %1"/>
      <w:lvlJc w:val="left"/>
      <w:pPr>
        <w:tabs>
          <w:tab w:val="num" w:pos="2268"/>
        </w:tabs>
        <w:ind w:left="2268" w:hanging="2268"/>
      </w:pPr>
      <w:rPr>
        <w:rFonts w:hint="default"/>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18" w15:restartNumberingAfterBreak="0">
    <w:nsid w:val="71E35710"/>
    <w:multiLevelType w:val="hybridMultilevel"/>
    <w:tmpl w:val="B5562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37718"/>
    <w:multiLevelType w:val="multilevel"/>
    <w:tmpl w:val="78EEB2F4"/>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20" w15:restartNumberingAfterBreak="0">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798F30D8"/>
    <w:multiLevelType w:val="multilevel"/>
    <w:tmpl w:val="7B6C7702"/>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7B2C088F"/>
    <w:multiLevelType w:val="hybridMultilevel"/>
    <w:tmpl w:val="B07AD578"/>
    <w:lvl w:ilvl="0" w:tplc="04090001">
      <w:start w:val="8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
  </w:num>
  <w:num w:numId="4">
    <w:abstractNumId w:val="5"/>
  </w:num>
  <w:num w:numId="5">
    <w:abstractNumId w:val="20"/>
  </w:num>
  <w:num w:numId="6">
    <w:abstractNumId w:val="11"/>
  </w:num>
  <w:num w:numId="7">
    <w:abstractNumId w:val="19"/>
  </w:num>
  <w:num w:numId="8">
    <w:abstractNumId w:val="4"/>
  </w:num>
  <w:num w:numId="9">
    <w:abstractNumId w:val="21"/>
  </w:num>
  <w:num w:numId="10">
    <w:abstractNumId w:val="12"/>
  </w:num>
  <w:num w:numId="11">
    <w:abstractNumId w:val="7"/>
  </w:num>
  <w:num w:numId="12">
    <w:abstractNumId w:val="18"/>
  </w:num>
  <w:num w:numId="13">
    <w:abstractNumId w:val="8"/>
  </w:num>
  <w:num w:numId="14">
    <w:abstractNumId w:val="10"/>
  </w:num>
  <w:num w:numId="15">
    <w:abstractNumId w:val="22"/>
  </w:num>
  <w:num w:numId="16">
    <w:abstractNumId w:val="13"/>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
  </w:num>
  <w:num w:numId="28">
    <w:abstractNumId w:val="15"/>
  </w:num>
  <w:num w:numId="29">
    <w:abstractNumId w:val="9"/>
  </w:num>
  <w:num w:numId="30">
    <w:abstractNumId w:val="6"/>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3"/>
  </w:num>
  <w:num w:numId="40">
    <w:abstractNumId w:val="0"/>
  </w:num>
  <w:num w:numId="41">
    <w:abstractNumId w:val="2"/>
  </w:num>
  <w:num w:numId="42">
    <w:abstractNumId w:val="12"/>
  </w:num>
  <w:num w:numId="43">
    <w:abstractNumId w:val="12"/>
  </w:num>
  <w:num w:numId="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07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DD"/>
    <w:rsid w:val="000003B9"/>
    <w:rsid w:val="000008CD"/>
    <w:rsid w:val="00000EF5"/>
    <w:rsid w:val="00001D9C"/>
    <w:rsid w:val="00001F56"/>
    <w:rsid w:val="00002955"/>
    <w:rsid w:val="00005E9E"/>
    <w:rsid w:val="00006DF5"/>
    <w:rsid w:val="0000786F"/>
    <w:rsid w:val="00007A04"/>
    <w:rsid w:val="000102DB"/>
    <w:rsid w:val="00013784"/>
    <w:rsid w:val="000144D2"/>
    <w:rsid w:val="00015020"/>
    <w:rsid w:val="000155E9"/>
    <w:rsid w:val="00015FD7"/>
    <w:rsid w:val="0001755D"/>
    <w:rsid w:val="00017560"/>
    <w:rsid w:val="00017A60"/>
    <w:rsid w:val="00021A86"/>
    <w:rsid w:val="00021AD2"/>
    <w:rsid w:val="000220ED"/>
    <w:rsid w:val="00022E3D"/>
    <w:rsid w:val="0002448D"/>
    <w:rsid w:val="000253BD"/>
    <w:rsid w:val="000261F5"/>
    <w:rsid w:val="00026D79"/>
    <w:rsid w:val="00026DB1"/>
    <w:rsid w:val="00031483"/>
    <w:rsid w:val="000315E0"/>
    <w:rsid w:val="00031645"/>
    <w:rsid w:val="00031802"/>
    <w:rsid w:val="00031FB0"/>
    <w:rsid w:val="00032A27"/>
    <w:rsid w:val="000330A3"/>
    <w:rsid w:val="00033D92"/>
    <w:rsid w:val="000349AE"/>
    <w:rsid w:val="00035588"/>
    <w:rsid w:val="00036223"/>
    <w:rsid w:val="00036D6E"/>
    <w:rsid w:val="000376D1"/>
    <w:rsid w:val="00040782"/>
    <w:rsid w:val="00040954"/>
    <w:rsid w:val="000431C3"/>
    <w:rsid w:val="00043EF0"/>
    <w:rsid w:val="000454E9"/>
    <w:rsid w:val="000458E5"/>
    <w:rsid w:val="000463B6"/>
    <w:rsid w:val="00046C07"/>
    <w:rsid w:val="00052869"/>
    <w:rsid w:val="00052B9F"/>
    <w:rsid w:val="00052D27"/>
    <w:rsid w:val="00052D84"/>
    <w:rsid w:val="00052DD1"/>
    <w:rsid w:val="000535A1"/>
    <w:rsid w:val="00053D84"/>
    <w:rsid w:val="00053ED6"/>
    <w:rsid w:val="0005452B"/>
    <w:rsid w:val="00054B46"/>
    <w:rsid w:val="000551E7"/>
    <w:rsid w:val="00055290"/>
    <w:rsid w:val="000579FD"/>
    <w:rsid w:val="00060165"/>
    <w:rsid w:val="000609FE"/>
    <w:rsid w:val="0006308C"/>
    <w:rsid w:val="00063893"/>
    <w:rsid w:val="00063C31"/>
    <w:rsid w:val="0006632D"/>
    <w:rsid w:val="000675B0"/>
    <w:rsid w:val="00072636"/>
    <w:rsid w:val="0007364E"/>
    <w:rsid w:val="00073746"/>
    <w:rsid w:val="00073C1A"/>
    <w:rsid w:val="0007401B"/>
    <w:rsid w:val="000742E0"/>
    <w:rsid w:val="0007725E"/>
    <w:rsid w:val="00081121"/>
    <w:rsid w:val="0008358E"/>
    <w:rsid w:val="000837CB"/>
    <w:rsid w:val="00083D14"/>
    <w:rsid w:val="0008487A"/>
    <w:rsid w:val="00085EE5"/>
    <w:rsid w:val="00087034"/>
    <w:rsid w:val="000925A0"/>
    <w:rsid w:val="00092725"/>
    <w:rsid w:val="00092B20"/>
    <w:rsid w:val="00093D20"/>
    <w:rsid w:val="00094076"/>
    <w:rsid w:val="00094279"/>
    <w:rsid w:val="000946B9"/>
    <w:rsid w:val="00097176"/>
    <w:rsid w:val="00097695"/>
    <w:rsid w:val="000A0639"/>
    <w:rsid w:val="000A13D0"/>
    <w:rsid w:val="000A21FC"/>
    <w:rsid w:val="000A27C6"/>
    <w:rsid w:val="000A2E11"/>
    <w:rsid w:val="000A363B"/>
    <w:rsid w:val="000A39F7"/>
    <w:rsid w:val="000A4419"/>
    <w:rsid w:val="000A49E5"/>
    <w:rsid w:val="000A5C4C"/>
    <w:rsid w:val="000A65B7"/>
    <w:rsid w:val="000A66BF"/>
    <w:rsid w:val="000A773A"/>
    <w:rsid w:val="000A7F54"/>
    <w:rsid w:val="000B157A"/>
    <w:rsid w:val="000B2A84"/>
    <w:rsid w:val="000B2ABE"/>
    <w:rsid w:val="000B33BC"/>
    <w:rsid w:val="000B3698"/>
    <w:rsid w:val="000B40B2"/>
    <w:rsid w:val="000B4B92"/>
    <w:rsid w:val="000B66B4"/>
    <w:rsid w:val="000B676E"/>
    <w:rsid w:val="000B7239"/>
    <w:rsid w:val="000B7453"/>
    <w:rsid w:val="000C0239"/>
    <w:rsid w:val="000C17BF"/>
    <w:rsid w:val="000C3EA2"/>
    <w:rsid w:val="000C477F"/>
    <w:rsid w:val="000C5CA6"/>
    <w:rsid w:val="000C6761"/>
    <w:rsid w:val="000C714A"/>
    <w:rsid w:val="000C73C4"/>
    <w:rsid w:val="000C7B0A"/>
    <w:rsid w:val="000D0816"/>
    <w:rsid w:val="000D1D32"/>
    <w:rsid w:val="000D2E46"/>
    <w:rsid w:val="000D3F74"/>
    <w:rsid w:val="000D7126"/>
    <w:rsid w:val="000E3061"/>
    <w:rsid w:val="000E3478"/>
    <w:rsid w:val="000E45FB"/>
    <w:rsid w:val="000E479C"/>
    <w:rsid w:val="000E4EBB"/>
    <w:rsid w:val="000E5272"/>
    <w:rsid w:val="000E560C"/>
    <w:rsid w:val="000E787A"/>
    <w:rsid w:val="000F0894"/>
    <w:rsid w:val="000F0917"/>
    <w:rsid w:val="000F0BA2"/>
    <w:rsid w:val="000F0E6B"/>
    <w:rsid w:val="000F42A3"/>
    <w:rsid w:val="000F4FFE"/>
    <w:rsid w:val="000F6409"/>
    <w:rsid w:val="000F69EA"/>
    <w:rsid w:val="000F7233"/>
    <w:rsid w:val="000F7276"/>
    <w:rsid w:val="0010080E"/>
    <w:rsid w:val="001013E2"/>
    <w:rsid w:val="001031D2"/>
    <w:rsid w:val="001031E8"/>
    <w:rsid w:val="00104099"/>
    <w:rsid w:val="00104996"/>
    <w:rsid w:val="001049DB"/>
    <w:rsid w:val="001053EB"/>
    <w:rsid w:val="001056D0"/>
    <w:rsid w:val="0010571E"/>
    <w:rsid w:val="00106084"/>
    <w:rsid w:val="00106263"/>
    <w:rsid w:val="001076BF"/>
    <w:rsid w:val="00111B7C"/>
    <w:rsid w:val="00111DAA"/>
    <w:rsid w:val="00111FD0"/>
    <w:rsid w:val="0011226B"/>
    <w:rsid w:val="00112946"/>
    <w:rsid w:val="0011331F"/>
    <w:rsid w:val="00113A09"/>
    <w:rsid w:val="00113FFC"/>
    <w:rsid w:val="0011447E"/>
    <w:rsid w:val="00114FAE"/>
    <w:rsid w:val="0011539F"/>
    <w:rsid w:val="00115B3A"/>
    <w:rsid w:val="001169B6"/>
    <w:rsid w:val="00116BDB"/>
    <w:rsid w:val="00117680"/>
    <w:rsid w:val="00121223"/>
    <w:rsid w:val="00121E30"/>
    <w:rsid w:val="00123088"/>
    <w:rsid w:val="00125E6E"/>
    <w:rsid w:val="00126F62"/>
    <w:rsid w:val="00127E9C"/>
    <w:rsid w:val="00130AC9"/>
    <w:rsid w:val="00130CE2"/>
    <w:rsid w:val="0013328E"/>
    <w:rsid w:val="001343BE"/>
    <w:rsid w:val="001344F4"/>
    <w:rsid w:val="00135421"/>
    <w:rsid w:val="0013573B"/>
    <w:rsid w:val="00136130"/>
    <w:rsid w:val="001401A3"/>
    <w:rsid w:val="001402C0"/>
    <w:rsid w:val="001419EA"/>
    <w:rsid w:val="00141BB1"/>
    <w:rsid w:val="00142A17"/>
    <w:rsid w:val="00143CCE"/>
    <w:rsid w:val="001445E2"/>
    <w:rsid w:val="00150181"/>
    <w:rsid w:val="00150B53"/>
    <w:rsid w:val="00150BF1"/>
    <w:rsid w:val="0015130A"/>
    <w:rsid w:val="00151E1C"/>
    <w:rsid w:val="00152CCA"/>
    <w:rsid w:val="00153EE9"/>
    <w:rsid w:val="00154136"/>
    <w:rsid w:val="001550AA"/>
    <w:rsid w:val="001558C9"/>
    <w:rsid w:val="00156127"/>
    <w:rsid w:val="00156151"/>
    <w:rsid w:val="00156541"/>
    <w:rsid w:val="00157B37"/>
    <w:rsid w:val="001600D6"/>
    <w:rsid w:val="001605E2"/>
    <w:rsid w:val="001606DF"/>
    <w:rsid w:val="00160AEC"/>
    <w:rsid w:val="0016197A"/>
    <w:rsid w:val="001620B6"/>
    <w:rsid w:val="00162734"/>
    <w:rsid w:val="00164677"/>
    <w:rsid w:val="00165767"/>
    <w:rsid w:val="0017115B"/>
    <w:rsid w:val="0017183E"/>
    <w:rsid w:val="00171E83"/>
    <w:rsid w:val="00171EEE"/>
    <w:rsid w:val="00173BC9"/>
    <w:rsid w:val="0017417A"/>
    <w:rsid w:val="00174296"/>
    <w:rsid w:val="00175F1E"/>
    <w:rsid w:val="00176F85"/>
    <w:rsid w:val="00180B71"/>
    <w:rsid w:val="00181560"/>
    <w:rsid w:val="00182175"/>
    <w:rsid w:val="001822DF"/>
    <w:rsid w:val="00182ABD"/>
    <w:rsid w:val="001830BA"/>
    <w:rsid w:val="00183A38"/>
    <w:rsid w:val="00183DC1"/>
    <w:rsid w:val="00184133"/>
    <w:rsid w:val="001845C8"/>
    <w:rsid w:val="001846B8"/>
    <w:rsid w:val="001857BE"/>
    <w:rsid w:val="00185D10"/>
    <w:rsid w:val="00187B22"/>
    <w:rsid w:val="00190488"/>
    <w:rsid w:val="00191DF0"/>
    <w:rsid w:val="00191FE1"/>
    <w:rsid w:val="00192078"/>
    <w:rsid w:val="00193DF7"/>
    <w:rsid w:val="00194776"/>
    <w:rsid w:val="00194F49"/>
    <w:rsid w:val="001968D9"/>
    <w:rsid w:val="00196A1B"/>
    <w:rsid w:val="001A2130"/>
    <w:rsid w:val="001A2ED7"/>
    <w:rsid w:val="001A2F73"/>
    <w:rsid w:val="001A4190"/>
    <w:rsid w:val="001A7228"/>
    <w:rsid w:val="001B1577"/>
    <w:rsid w:val="001B1CFB"/>
    <w:rsid w:val="001B47B7"/>
    <w:rsid w:val="001B6539"/>
    <w:rsid w:val="001B7413"/>
    <w:rsid w:val="001C07AC"/>
    <w:rsid w:val="001C09C3"/>
    <w:rsid w:val="001C1251"/>
    <w:rsid w:val="001C2790"/>
    <w:rsid w:val="001C316D"/>
    <w:rsid w:val="001C403A"/>
    <w:rsid w:val="001C4222"/>
    <w:rsid w:val="001C57A3"/>
    <w:rsid w:val="001C5D11"/>
    <w:rsid w:val="001C7291"/>
    <w:rsid w:val="001D0041"/>
    <w:rsid w:val="001D17F6"/>
    <w:rsid w:val="001D4D59"/>
    <w:rsid w:val="001D4FD4"/>
    <w:rsid w:val="001D5301"/>
    <w:rsid w:val="001D682A"/>
    <w:rsid w:val="001D7E5C"/>
    <w:rsid w:val="001E0682"/>
    <w:rsid w:val="001E1321"/>
    <w:rsid w:val="001E1725"/>
    <w:rsid w:val="001E218A"/>
    <w:rsid w:val="001E2C8E"/>
    <w:rsid w:val="001E35A3"/>
    <w:rsid w:val="001E51E6"/>
    <w:rsid w:val="001E5C2C"/>
    <w:rsid w:val="001E671A"/>
    <w:rsid w:val="001E73D1"/>
    <w:rsid w:val="001F51C3"/>
    <w:rsid w:val="001F5861"/>
    <w:rsid w:val="001F59BB"/>
    <w:rsid w:val="001F6A55"/>
    <w:rsid w:val="002008B5"/>
    <w:rsid w:val="00201FBF"/>
    <w:rsid w:val="002029F1"/>
    <w:rsid w:val="00202D0C"/>
    <w:rsid w:val="00202FA3"/>
    <w:rsid w:val="00205632"/>
    <w:rsid w:val="002063FB"/>
    <w:rsid w:val="00206599"/>
    <w:rsid w:val="0020747D"/>
    <w:rsid w:val="00207730"/>
    <w:rsid w:val="00210B4E"/>
    <w:rsid w:val="0021188D"/>
    <w:rsid w:val="00211891"/>
    <w:rsid w:val="00212318"/>
    <w:rsid w:val="0021298C"/>
    <w:rsid w:val="00213898"/>
    <w:rsid w:val="00214602"/>
    <w:rsid w:val="00214F74"/>
    <w:rsid w:val="00214FFE"/>
    <w:rsid w:val="00215B69"/>
    <w:rsid w:val="00221548"/>
    <w:rsid w:val="0022454F"/>
    <w:rsid w:val="00225D67"/>
    <w:rsid w:val="0022670C"/>
    <w:rsid w:val="002267BD"/>
    <w:rsid w:val="00230E89"/>
    <w:rsid w:val="00231C9A"/>
    <w:rsid w:val="00231CF1"/>
    <w:rsid w:val="00232261"/>
    <w:rsid w:val="002325BA"/>
    <w:rsid w:val="002333C8"/>
    <w:rsid w:val="002338A9"/>
    <w:rsid w:val="00234B6A"/>
    <w:rsid w:val="00235578"/>
    <w:rsid w:val="002356AD"/>
    <w:rsid w:val="0023639D"/>
    <w:rsid w:val="00236450"/>
    <w:rsid w:val="0023677F"/>
    <w:rsid w:val="00236856"/>
    <w:rsid w:val="00240074"/>
    <w:rsid w:val="0024153D"/>
    <w:rsid w:val="0024156E"/>
    <w:rsid w:val="00241CAE"/>
    <w:rsid w:val="00244699"/>
    <w:rsid w:val="0024469A"/>
    <w:rsid w:val="00245605"/>
    <w:rsid w:val="00245D60"/>
    <w:rsid w:val="002472AF"/>
    <w:rsid w:val="00247F4A"/>
    <w:rsid w:val="002502BD"/>
    <w:rsid w:val="002503D9"/>
    <w:rsid w:val="002507AB"/>
    <w:rsid w:val="00253A3F"/>
    <w:rsid w:val="0025407A"/>
    <w:rsid w:val="0025415C"/>
    <w:rsid w:val="002551DD"/>
    <w:rsid w:val="002555B9"/>
    <w:rsid w:val="00255B7E"/>
    <w:rsid w:val="00255E09"/>
    <w:rsid w:val="00256B5E"/>
    <w:rsid w:val="00257433"/>
    <w:rsid w:val="00257EEF"/>
    <w:rsid w:val="00261290"/>
    <w:rsid w:val="00261387"/>
    <w:rsid w:val="002619F4"/>
    <w:rsid w:val="00262D51"/>
    <w:rsid w:val="00262E3A"/>
    <w:rsid w:val="00263421"/>
    <w:rsid w:val="00266626"/>
    <w:rsid w:val="002667DD"/>
    <w:rsid w:val="00266E43"/>
    <w:rsid w:val="00266F8D"/>
    <w:rsid w:val="002673B0"/>
    <w:rsid w:val="002679B9"/>
    <w:rsid w:val="00267A47"/>
    <w:rsid w:val="002700DD"/>
    <w:rsid w:val="00272514"/>
    <w:rsid w:val="002771A3"/>
    <w:rsid w:val="00277A2F"/>
    <w:rsid w:val="00277B49"/>
    <w:rsid w:val="00277B89"/>
    <w:rsid w:val="00282AA0"/>
    <w:rsid w:val="00282CA5"/>
    <w:rsid w:val="00285A56"/>
    <w:rsid w:val="002862B3"/>
    <w:rsid w:val="00287D09"/>
    <w:rsid w:val="00290B39"/>
    <w:rsid w:val="00292B41"/>
    <w:rsid w:val="0029531F"/>
    <w:rsid w:val="00296D39"/>
    <w:rsid w:val="002A031E"/>
    <w:rsid w:val="002A1267"/>
    <w:rsid w:val="002A1B62"/>
    <w:rsid w:val="002A2308"/>
    <w:rsid w:val="002A298E"/>
    <w:rsid w:val="002A2DDD"/>
    <w:rsid w:val="002A3011"/>
    <w:rsid w:val="002A3075"/>
    <w:rsid w:val="002A3E2E"/>
    <w:rsid w:val="002A469D"/>
    <w:rsid w:val="002A4761"/>
    <w:rsid w:val="002A5CE0"/>
    <w:rsid w:val="002A6ECD"/>
    <w:rsid w:val="002A7CCF"/>
    <w:rsid w:val="002B0437"/>
    <w:rsid w:val="002B0B1E"/>
    <w:rsid w:val="002B10A0"/>
    <w:rsid w:val="002B3110"/>
    <w:rsid w:val="002B4332"/>
    <w:rsid w:val="002B4E1E"/>
    <w:rsid w:val="002B66D5"/>
    <w:rsid w:val="002C1B3B"/>
    <w:rsid w:val="002C201D"/>
    <w:rsid w:val="002C33E6"/>
    <w:rsid w:val="002C4069"/>
    <w:rsid w:val="002C57BD"/>
    <w:rsid w:val="002C6E02"/>
    <w:rsid w:val="002D0866"/>
    <w:rsid w:val="002D2D8C"/>
    <w:rsid w:val="002D54D2"/>
    <w:rsid w:val="002D626F"/>
    <w:rsid w:val="002E085B"/>
    <w:rsid w:val="002E0A70"/>
    <w:rsid w:val="002E0C05"/>
    <w:rsid w:val="002E1ABE"/>
    <w:rsid w:val="002E22C3"/>
    <w:rsid w:val="002E2531"/>
    <w:rsid w:val="002E380A"/>
    <w:rsid w:val="002E4262"/>
    <w:rsid w:val="002E61B2"/>
    <w:rsid w:val="002E6487"/>
    <w:rsid w:val="002E7B78"/>
    <w:rsid w:val="002F02E4"/>
    <w:rsid w:val="002F07B9"/>
    <w:rsid w:val="002F13A0"/>
    <w:rsid w:val="002F1B69"/>
    <w:rsid w:val="002F237E"/>
    <w:rsid w:val="002F2B1A"/>
    <w:rsid w:val="002F2E35"/>
    <w:rsid w:val="002F2FF1"/>
    <w:rsid w:val="002F4983"/>
    <w:rsid w:val="002F579A"/>
    <w:rsid w:val="002F5970"/>
    <w:rsid w:val="002F65AC"/>
    <w:rsid w:val="002F6766"/>
    <w:rsid w:val="002F6EEC"/>
    <w:rsid w:val="00301547"/>
    <w:rsid w:val="00302451"/>
    <w:rsid w:val="00302A2F"/>
    <w:rsid w:val="00303A67"/>
    <w:rsid w:val="00303E76"/>
    <w:rsid w:val="00305809"/>
    <w:rsid w:val="00306173"/>
    <w:rsid w:val="00310710"/>
    <w:rsid w:val="003111B0"/>
    <w:rsid w:val="00311D24"/>
    <w:rsid w:val="00311F4F"/>
    <w:rsid w:val="003123D7"/>
    <w:rsid w:val="00312578"/>
    <w:rsid w:val="0031314C"/>
    <w:rsid w:val="003142EA"/>
    <w:rsid w:val="003144C1"/>
    <w:rsid w:val="003148DF"/>
    <w:rsid w:val="00315645"/>
    <w:rsid w:val="00317599"/>
    <w:rsid w:val="00317823"/>
    <w:rsid w:val="00317B53"/>
    <w:rsid w:val="00320967"/>
    <w:rsid w:val="00322205"/>
    <w:rsid w:val="0032250C"/>
    <w:rsid w:val="0032275F"/>
    <w:rsid w:val="0032337B"/>
    <w:rsid w:val="003237C1"/>
    <w:rsid w:val="00324522"/>
    <w:rsid w:val="00324FB1"/>
    <w:rsid w:val="00326B26"/>
    <w:rsid w:val="00326CAC"/>
    <w:rsid w:val="00327605"/>
    <w:rsid w:val="00330AFD"/>
    <w:rsid w:val="0033482A"/>
    <w:rsid w:val="00334C3D"/>
    <w:rsid w:val="00337D74"/>
    <w:rsid w:val="0034028D"/>
    <w:rsid w:val="00341FDC"/>
    <w:rsid w:val="0034249A"/>
    <w:rsid w:val="00343366"/>
    <w:rsid w:val="00344613"/>
    <w:rsid w:val="00346AD0"/>
    <w:rsid w:val="0034753E"/>
    <w:rsid w:val="003518C9"/>
    <w:rsid w:val="003541A4"/>
    <w:rsid w:val="00354993"/>
    <w:rsid w:val="00354A60"/>
    <w:rsid w:val="00355D6D"/>
    <w:rsid w:val="003567B3"/>
    <w:rsid w:val="00357480"/>
    <w:rsid w:val="00361151"/>
    <w:rsid w:val="00361A09"/>
    <w:rsid w:val="00362821"/>
    <w:rsid w:val="00367CEB"/>
    <w:rsid w:val="00370895"/>
    <w:rsid w:val="00371B43"/>
    <w:rsid w:val="00373904"/>
    <w:rsid w:val="003748DC"/>
    <w:rsid w:val="003758EC"/>
    <w:rsid w:val="00375E1A"/>
    <w:rsid w:val="00376D4E"/>
    <w:rsid w:val="00377B3F"/>
    <w:rsid w:val="00377E29"/>
    <w:rsid w:val="00381C13"/>
    <w:rsid w:val="00382176"/>
    <w:rsid w:val="00382788"/>
    <w:rsid w:val="00383014"/>
    <w:rsid w:val="00383FF4"/>
    <w:rsid w:val="003846E2"/>
    <w:rsid w:val="0038678D"/>
    <w:rsid w:val="00386A82"/>
    <w:rsid w:val="0039153F"/>
    <w:rsid w:val="00392AC9"/>
    <w:rsid w:val="00394ECB"/>
    <w:rsid w:val="00395BD7"/>
    <w:rsid w:val="003967E3"/>
    <w:rsid w:val="00397640"/>
    <w:rsid w:val="0039771D"/>
    <w:rsid w:val="00397885"/>
    <w:rsid w:val="003A0682"/>
    <w:rsid w:val="003A0E51"/>
    <w:rsid w:val="003A190C"/>
    <w:rsid w:val="003A227B"/>
    <w:rsid w:val="003A2B0D"/>
    <w:rsid w:val="003A302D"/>
    <w:rsid w:val="003A357B"/>
    <w:rsid w:val="003A377A"/>
    <w:rsid w:val="003B0068"/>
    <w:rsid w:val="003B01DB"/>
    <w:rsid w:val="003B1337"/>
    <w:rsid w:val="003B1DF0"/>
    <w:rsid w:val="003B37A9"/>
    <w:rsid w:val="003B41FA"/>
    <w:rsid w:val="003B447A"/>
    <w:rsid w:val="003B6BF4"/>
    <w:rsid w:val="003B770F"/>
    <w:rsid w:val="003B7E2A"/>
    <w:rsid w:val="003C01E6"/>
    <w:rsid w:val="003C04F8"/>
    <w:rsid w:val="003C087C"/>
    <w:rsid w:val="003C1694"/>
    <w:rsid w:val="003C169B"/>
    <w:rsid w:val="003C1AE3"/>
    <w:rsid w:val="003C2B11"/>
    <w:rsid w:val="003C64BC"/>
    <w:rsid w:val="003C6C62"/>
    <w:rsid w:val="003C7D89"/>
    <w:rsid w:val="003D1199"/>
    <w:rsid w:val="003D1EEB"/>
    <w:rsid w:val="003D20E7"/>
    <w:rsid w:val="003D22D2"/>
    <w:rsid w:val="003D5ED1"/>
    <w:rsid w:val="003D71CC"/>
    <w:rsid w:val="003E2120"/>
    <w:rsid w:val="003E2A51"/>
    <w:rsid w:val="003E5C48"/>
    <w:rsid w:val="003E5F1B"/>
    <w:rsid w:val="003E6D45"/>
    <w:rsid w:val="003E6E60"/>
    <w:rsid w:val="003E713A"/>
    <w:rsid w:val="003E7DCD"/>
    <w:rsid w:val="003F02D1"/>
    <w:rsid w:val="003F02D5"/>
    <w:rsid w:val="003F035A"/>
    <w:rsid w:val="003F23F8"/>
    <w:rsid w:val="003F355D"/>
    <w:rsid w:val="003F4048"/>
    <w:rsid w:val="003F44FD"/>
    <w:rsid w:val="003F49F6"/>
    <w:rsid w:val="003F4FDB"/>
    <w:rsid w:val="003F5EAD"/>
    <w:rsid w:val="003F7528"/>
    <w:rsid w:val="004021AC"/>
    <w:rsid w:val="00403A0E"/>
    <w:rsid w:val="00403C32"/>
    <w:rsid w:val="004041AD"/>
    <w:rsid w:val="004044F8"/>
    <w:rsid w:val="00407D98"/>
    <w:rsid w:val="00410A4B"/>
    <w:rsid w:val="00411D8A"/>
    <w:rsid w:val="00412093"/>
    <w:rsid w:val="00415A97"/>
    <w:rsid w:val="00416750"/>
    <w:rsid w:val="00417606"/>
    <w:rsid w:val="00417B76"/>
    <w:rsid w:val="00420069"/>
    <w:rsid w:val="004201BC"/>
    <w:rsid w:val="00420E23"/>
    <w:rsid w:val="00421D4A"/>
    <w:rsid w:val="00421FE7"/>
    <w:rsid w:val="00422183"/>
    <w:rsid w:val="00422C48"/>
    <w:rsid w:val="00423445"/>
    <w:rsid w:val="0042434B"/>
    <w:rsid w:val="0042631D"/>
    <w:rsid w:val="00426F0F"/>
    <w:rsid w:val="0042751D"/>
    <w:rsid w:val="00427CFA"/>
    <w:rsid w:val="00430ABB"/>
    <w:rsid w:val="004327B4"/>
    <w:rsid w:val="0043346A"/>
    <w:rsid w:val="00433513"/>
    <w:rsid w:val="004340A5"/>
    <w:rsid w:val="0043440C"/>
    <w:rsid w:val="0043594B"/>
    <w:rsid w:val="0043616A"/>
    <w:rsid w:val="00440CE9"/>
    <w:rsid w:val="004415C4"/>
    <w:rsid w:val="00441681"/>
    <w:rsid w:val="00442638"/>
    <w:rsid w:val="0044313F"/>
    <w:rsid w:val="00443470"/>
    <w:rsid w:val="0044550B"/>
    <w:rsid w:val="00445CA0"/>
    <w:rsid w:val="00447DA0"/>
    <w:rsid w:val="004516BE"/>
    <w:rsid w:val="0045286E"/>
    <w:rsid w:val="00452B87"/>
    <w:rsid w:val="004536A0"/>
    <w:rsid w:val="004538C9"/>
    <w:rsid w:val="00454367"/>
    <w:rsid w:val="004575F7"/>
    <w:rsid w:val="00457FC7"/>
    <w:rsid w:val="00464323"/>
    <w:rsid w:val="00464933"/>
    <w:rsid w:val="00464ACD"/>
    <w:rsid w:val="00464DF0"/>
    <w:rsid w:val="004672AF"/>
    <w:rsid w:val="004711C5"/>
    <w:rsid w:val="004728B7"/>
    <w:rsid w:val="004757AE"/>
    <w:rsid w:val="00475D42"/>
    <w:rsid w:val="00475E0C"/>
    <w:rsid w:val="00477B20"/>
    <w:rsid w:val="00477DFB"/>
    <w:rsid w:val="00477F06"/>
    <w:rsid w:val="0048292F"/>
    <w:rsid w:val="004831D8"/>
    <w:rsid w:val="004837FE"/>
    <w:rsid w:val="00483E88"/>
    <w:rsid w:val="00484608"/>
    <w:rsid w:val="00486FBF"/>
    <w:rsid w:val="004877EB"/>
    <w:rsid w:val="00487C3A"/>
    <w:rsid w:val="00487C5A"/>
    <w:rsid w:val="00490270"/>
    <w:rsid w:val="00490577"/>
    <w:rsid w:val="00490FDA"/>
    <w:rsid w:val="00491092"/>
    <w:rsid w:val="00491361"/>
    <w:rsid w:val="004913A3"/>
    <w:rsid w:val="00492776"/>
    <w:rsid w:val="00494522"/>
    <w:rsid w:val="00494EC4"/>
    <w:rsid w:val="004959B6"/>
    <w:rsid w:val="00496EEA"/>
    <w:rsid w:val="0049764B"/>
    <w:rsid w:val="00497C4C"/>
    <w:rsid w:val="004A031C"/>
    <w:rsid w:val="004A099C"/>
    <w:rsid w:val="004A0F52"/>
    <w:rsid w:val="004A11BA"/>
    <w:rsid w:val="004A1249"/>
    <w:rsid w:val="004A135E"/>
    <w:rsid w:val="004A31AE"/>
    <w:rsid w:val="004A467E"/>
    <w:rsid w:val="004A4F72"/>
    <w:rsid w:val="004A65B2"/>
    <w:rsid w:val="004A6EF3"/>
    <w:rsid w:val="004B0312"/>
    <w:rsid w:val="004B1F35"/>
    <w:rsid w:val="004B21FA"/>
    <w:rsid w:val="004B3507"/>
    <w:rsid w:val="004B3D56"/>
    <w:rsid w:val="004B4132"/>
    <w:rsid w:val="004B419C"/>
    <w:rsid w:val="004B658E"/>
    <w:rsid w:val="004B7260"/>
    <w:rsid w:val="004C1159"/>
    <w:rsid w:val="004C1E26"/>
    <w:rsid w:val="004C254E"/>
    <w:rsid w:val="004C4F54"/>
    <w:rsid w:val="004C6AB1"/>
    <w:rsid w:val="004C6F2C"/>
    <w:rsid w:val="004C7566"/>
    <w:rsid w:val="004D5D0D"/>
    <w:rsid w:val="004D5D41"/>
    <w:rsid w:val="004D67EE"/>
    <w:rsid w:val="004D6822"/>
    <w:rsid w:val="004D7EDC"/>
    <w:rsid w:val="004E010E"/>
    <w:rsid w:val="004E0C54"/>
    <w:rsid w:val="004E1D9D"/>
    <w:rsid w:val="004E426A"/>
    <w:rsid w:val="004E5652"/>
    <w:rsid w:val="004E5B34"/>
    <w:rsid w:val="004E62AC"/>
    <w:rsid w:val="004E6464"/>
    <w:rsid w:val="004E6610"/>
    <w:rsid w:val="004E663B"/>
    <w:rsid w:val="004E6B45"/>
    <w:rsid w:val="004E7908"/>
    <w:rsid w:val="004F0C6B"/>
    <w:rsid w:val="004F1666"/>
    <w:rsid w:val="004F22EC"/>
    <w:rsid w:val="004F44BF"/>
    <w:rsid w:val="004F5790"/>
    <w:rsid w:val="00500008"/>
    <w:rsid w:val="0050040E"/>
    <w:rsid w:val="00500A35"/>
    <w:rsid w:val="00501063"/>
    <w:rsid w:val="00501830"/>
    <w:rsid w:val="00502DB3"/>
    <w:rsid w:val="00504137"/>
    <w:rsid w:val="00505E3E"/>
    <w:rsid w:val="005100B2"/>
    <w:rsid w:val="005106D7"/>
    <w:rsid w:val="00510953"/>
    <w:rsid w:val="005113E9"/>
    <w:rsid w:val="00511700"/>
    <w:rsid w:val="00512A13"/>
    <w:rsid w:val="00513398"/>
    <w:rsid w:val="0051433B"/>
    <w:rsid w:val="00514D8E"/>
    <w:rsid w:val="005167E1"/>
    <w:rsid w:val="00517788"/>
    <w:rsid w:val="00517B4F"/>
    <w:rsid w:val="00517FC0"/>
    <w:rsid w:val="00521E1C"/>
    <w:rsid w:val="005242E6"/>
    <w:rsid w:val="00524329"/>
    <w:rsid w:val="00525961"/>
    <w:rsid w:val="00525B8D"/>
    <w:rsid w:val="00527B6E"/>
    <w:rsid w:val="00527D58"/>
    <w:rsid w:val="00530BC5"/>
    <w:rsid w:val="005313B7"/>
    <w:rsid w:val="00531591"/>
    <w:rsid w:val="005328A1"/>
    <w:rsid w:val="00533937"/>
    <w:rsid w:val="0053531D"/>
    <w:rsid w:val="00535370"/>
    <w:rsid w:val="00535CBB"/>
    <w:rsid w:val="0053605C"/>
    <w:rsid w:val="00537280"/>
    <w:rsid w:val="00537CA7"/>
    <w:rsid w:val="005415B6"/>
    <w:rsid w:val="00541E60"/>
    <w:rsid w:val="00543A69"/>
    <w:rsid w:val="00544A6B"/>
    <w:rsid w:val="005458D0"/>
    <w:rsid w:val="005459DE"/>
    <w:rsid w:val="005479D7"/>
    <w:rsid w:val="00547DF5"/>
    <w:rsid w:val="00547EBC"/>
    <w:rsid w:val="00550933"/>
    <w:rsid w:val="005534D9"/>
    <w:rsid w:val="00553C12"/>
    <w:rsid w:val="005541E4"/>
    <w:rsid w:val="005559CC"/>
    <w:rsid w:val="00556C6B"/>
    <w:rsid w:val="005579AB"/>
    <w:rsid w:val="00557C07"/>
    <w:rsid w:val="00561088"/>
    <w:rsid w:val="0056293E"/>
    <w:rsid w:val="00563D18"/>
    <w:rsid w:val="0056444F"/>
    <w:rsid w:val="00564C10"/>
    <w:rsid w:val="00572A44"/>
    <w:rsid w:val="00572FF4"/>
    <w:rsid w:val="0057334D"/>
    <w:rsid w:val="00573981"/>
    <w:rsid w:val="00576D80"/>
    <w:rsid w:val="00577774"/>
    <w:rsid w:val="00577D3E"/>
    <w:rsid w:val="005807B6"/>
    <w:rsid w:val="00580A72"/>
    <w:rsid w:val="00580D7C"/>
    <w:rsid w:val="00581FBE"/>
    <w:rsid w:val="0058220A"/>
    <w:rsid w:val="00582CB3"/>
    <w:rsid w:val="00583528"/>
    <w:rsid w:val="00583908"/>
    <w:rsid w:val="0058659F"/>
    <w:rsid w:val="00587D55"/>
    <w:rsid w:val="00590D0E"/>
    <w:rsid w:val="00591641"/>
    <w:rsid w:val="00592038"/>
    <w:rsid w:val="005935B8"/>
    <w:rsid w:val="005938A7"/>
    <w:rsid w:val="005938D1"/>
    <w:rsid w:val="00593B4F"/>
    <w:rsid w:val="00593ED6"/>
    <w:rsid w:val="005949BD"/>
    <w:rsid w:val="00594DEF"/>
    <w:rsid w:val="00597CEF"/>
    <w:rsid w:val="005A0617"/>
    <w:rsid w:val="005A1FCC"/>
    <w:rsid w:val="005A36C3"/>
    <w:rsid w:val="005A42B4"/>
    <w:rsid w:val="005A4FE3"/>
    <w:rsid w:val="005A64BF"/>
    <w:rsid w:val="005A6750"/>
    <w:rsid w:val="005A6957"/>
    <w:rsid w:val="005B007F"/>
    <w:rsid w:val="005B05A0"/>
    <w:rsid w:val="005B0A3E"/>
    <w:rsid w:val="005B1BA9"/>
    <w:rsid w:val="005B1DF0"/>
    <w:rsid w:val="005B2135"/>
    <w:rsid w:val="005B3645"/>
    <w:rsid w:val="005B3973"/>
    <w:rsid w:val="005B3E29"/>
    <w:rsid w:val="005B54FE"/>
    <w:rsid w:val="005B66E7"/>
    <w:rsid w:val="005B71CD"/>
    <w:rsid w:val="005B744B"/>
    <w:rsid w:val="005C0217"/>
    <w:rsid w:val="005C07BF"/>
    <w:rsid w:val="005C0AEE"/>
    <w:rsid w:val="005C0DE9"/>
    <w:rsid w:val="005C0E8A"/>
    <w:rsid w:val="005C11A3"/>
    <w:rsid w:val="005C15D9"/>
    <w:rsid w:val="005C1AA2"/>
    <w:rsid w:val="005C1BC2"/>
    <w:rsid w:val="005C297E"/>
    <w:rsid w:val="005C2DA6"/>
    <w:rsid w:val="005C2F74"/>
    <w:rsid w:val="005C3892"/>
    <w:rsid w:val="005C3AEF"/>
    <w:rsid w:val="005C4320"/>
    <w:rsid w:val="005C580E"/>
    <w:rsid w:val="005C65BE"/>
    <w:rsid w:val="005C6763"/>
    <w:rsid w:val="005C7285"/>
    <w:rsid w:val="005D0A04"/>
    <w:rsid w:val="005D4096"/>
    <w:rsid w:val="005D40A7"/>
    <w:rsid w:val="005D4419"/>
    <w:rsid w:val="005D58A3"/>
    <w:rsid w:val="005D5FE7"/>
    <w:rsid w:val="005D7B1A"/>
    <w:rsid w:val="005D7E27"/>
    <w:rsid w:val="005E083F"/>
    <w:rsid w:val="005E2AE6"/>
    <w:rsid w:val="005E3D78"/>
    <w:rsid w:val="005E4D43"/>
    <w:rsid w:val="005E68E3"/>
    <w:rsid w:val="005E6AEF"/>
    <w:rsid w:val="005E7286"/>
    <w:rsid w:val="005E7B16"/>
    <w:rsid w:val="005F0AA4"/>
    <w:rsid w:val="005F13A4"/>
    <w:rsid w:val="005F1565"/>
    <w:rsid w:val="005F15C9"/>
    <w:rsid w:val="005F2322"/>
    <w:rsid w:val="005F2CC9"/>
    <w:rsid w:val="005F39A3"/>
    <w:rsid w:val="005F3B40"/>
    <w:rsid w:val="005F6B03"/>
    <w:rsid w:val="005F6D0A"/>
    <w:rsid w:val="00600C74"/>
    <w:rsid w:val="00602625"/>
    <w:rsid w:val="00602D80"/>
    <w:rsid w:val="0060311C"/>
    <w:rsid w:val="00606C30"/>
    <w:rsid w:val="00607768"/>
    <w:rsid w:val="00612E1C"/>
    <w:rsid w:val="00613E0A"/>
    <w:rsid w:val="00615325"/>
    <w:rsid w:val="006155C8"/>
    <w:rsid w:val="00615A4A"/>
    <w:rsid w:val="00615CA6"/>
    <w:rsid w:val="00616A6B"/>
    <w:rsid w:val="0061788B"/>
    <w:rsid w:val="00620D55"/>
    <w:rsid w:val="006215CB"/>
    <w:rsid w:val="00621895"/>
    <w:rsid w:val="00621A70"/>
    <w:rsid w:val="00622DC9"/>
    <w:rsid w:val="0062399F"/>
    <w:rsid w:val="00624091"/>
    <w:rsid w:val="006249A0"/>
    <w:rsid w:val="006253CC"/>
    <w:rsid w:val="00625768"/>
    <w:rsid w:val="00625B8A"/>
    <w:rsid w:val="00625F3C"/>
    <w:rsid w:val="00626775"/>
    <w:rsid w:val="00626AC8"/>
    <w:rsid w:val="006301E5"/>
    <w:rsid w:val="006310BC"/>
    <w:rsid w:val="006311BE"/>
    <w:rsid w:val="006314E5"/>
    <w:rsid w:val="00631FC1"/>
    <w:rsid w:val="00632B36"/>
    <w:rsid w:val="00636A02"/>
    <w:rsid w:val="00636E6A"/>
    <w:rsid w:val="00637444"/>
    <w:rsid w:val="00640FB7"/>
    <w:rsid w:val="00641D44"/>
    <w:rsid w:val="00641F04"/>
    <w:rsid w:val="006456BF"/>
    <w:rsid w:val="00645A46"/>
    <w:rsid w:val="00645B78"/>
    <w:rsid w:val="00645D25"/>
    <w:rsid w:val="00651DE8"/>
    <w:rsid w:val="00653AB1"/>
    <w:rsid w:val="0065540F"/>
    <w:rsid w:val="006560CE"/>
    <w:rsid w:val="00657160"/>
    <w:rsid w:val="006576C7"/>
    <w:rsid w:val="006577F7"/>
    <w:rsid w:val="00657C43"/>
    <w:rsid w:val="006606DA"/>
    <w:rsid w:val="00661BD9"/>
    <w:rsid w:val="00662519"/>
    <w:rsid w:val="006633F9"/>
    <w:rsid w:val="0066419D"/>
    <w:rsid w:val="00664943"/>
    <w:rsid w:val="00664C85"/>
    <w:rsid w:val="006653C0"/>
    <w:rsid w:val="00665C68"/>
    <w:rsid w:val="00665E1A"/>
    <w:rsid w:val="00667C2A"/>
    <w:rsid w:val="00671BA5"/>
    <w:rsid w:val="00672C0F"/>
    <w:rsid w:val="0067346B"/>
    <w:rsid w:val="006741C1"/>
    <w:rsid w:val="006743A5"/>
    <w:rsid w:val="0067532D"/>
    <w:rsid w:val="00675729"/>
    <w:rsid w:val="00676C62"/>
    <w:rsid w:val="0067779D"/>
    <w:rsid w:val="00680001"/>
    <w:rsid w:val="00681DA7"/>
    <w:rsid w:val="00682316"/>
    <w:rsid w:val="0068259B"/>
    <w:rsid w:val="00682EFD"/>
    <w:rsid w:val="00682F2C"/>
    <w:rsid w:val="0068307B"/>
    <w:rsid w:val="00683941"/>
    <w:rsid w:val="0068792C"/>
    <w:rsid w:val="0069074F"/>
    <w:rsid w:val="0069121F"/>
    <w:rsid w:val="0069196B"/>
    <w:rsid w:val="006924C9"/>
    <w:rsid w:val="0069471D"/>
    <w:rsid w:val="00695921"/>
    <w:rsid w:val="00695FD9"/>
    <w:rsid w:val="006963F6"/>
    <w:rsid w:val="006964DB"/>
    <w:rsid w:val="006A00D3"/>
    <w:rsid w:val="006A1080"/>
    <w:rsid w:val="006A3C9F"/>
    <w:rsid w:val="006A4291"/>
    <w:rsid w:val="006A51D6"/>
    <w:rsid w:val="006A636F"/>
    <w:rsid w:val="006B0E1D"/>
    <w:rsid w:val="006B10FA"/>
    <w:rsid w:val="006B1406"/>
    <w:rsid w:val="006B2300"/>
    <w:rsid w:val="006B58AB"/>
    <w:rsid w:val="006B7AB5"/>
    <w:rsid w:val="006C1210"/>
    <w:rsid w:val="006C30AC"/>
    <w:rsid w:val="006C42DF"/>
    <w:rsid w:val="006C5903"/>
    <w:rsid w:val="006C5AB8"/>
    <w:rsid w:val="006C5DAF"/>
    <w:rsid w:val="006C6E85"/>
    <w:rsid w:val="006C7D1A"/>
    <w:rsid w:val="006C7DF7"/>
    <w:rsid w:val="006D3779"/>
    <w:rsid w:val="006D705E"/>
    <w:rsid w:val="006E0109"/>
    <w:rsid w:val="006E13F3"/>
    <w:rsid w:val="006E1DF1"/>
    <w:rsid w:val="006E2885"/>
    <w:rsid w:val="006E3F5D"/>
    <w:rsid w:val="006E4A8E"/>
    <w:rsid w:val="006E5236"/>
    <w:rsid w:val="006E55ED"/>
    <w:rsid w:val="006E59B7"/>
    <w:rsid w:val="006E6658"/>
    <w:rsid w:val="006E6AFD"/>
    <w:rsid w:val="006F00B3"/>
    <w:rsid w:val="006F1CB2"/>
    <w:rsid w:val="006F1D00"/>
    <w:rsid w:val="006F3794"/>
    <w:rsid w:val="006F5049"/>
    <w:rsid w:val="006F520B"/>
    <w:rsid w:val="006F5AD9"/>
    <w:rsid w:val="006F5CCA"/>
    <w:rsid w:val="006F5D04"/>
    <w:rsid w:val="006F6DC2"/>
    <w:rsid w:val="007003B2"/>
    <w:rsid w:val="007008C2"/>
    <w:rsid w:val="00701445"/>
    <w:rsid w:val="0070149F"/>
    <w:rsid w:val="00701DF9"/>
    <w:rsid w:val="00702B1E"/>
    <w:rsid w:val="00702F51"/>
    <w:rsid w:val="0070387C"/>
    <w:rsid w:val="00703E8A"/>
    <w:rsid w:val="00704498"/>
    <w:rsid w:val="00704833"/>
    <w:rsid w:val="00704FC2"/>
    <w:rsid w:val="00706C47"/>
    <w:rsid w:val="00707BCA"/>
    <w:rsid w:val="00707CD6"/>
    <w:rsid w:val="007109B0"/>
    <w:rsid w:val="0071236A"/>
    <w:rsid w:val="00714AE4"/>
    <w:rsid w:val="00714CBC"/>
    <w:rsid w:val="00715640"/>
    <w:rsid w:val="00715C33"/>
    <w:rsid w:val="00716E2F"/>
    <w:rsid w:val="007207EB"/>
    <w:rsid w:val="007211BA"/>
    <w:rsid w:val="00721E33"/>
    <w:rsid w:val="00722629"/>
    <w:rsid w:val="00723214"/>
    <w:rsid w:val="00723FE6"/>
    <w:rsid w:val="00724E51"/>
    <w:rsid w:val="007254A8"/>
    <w:rsid w:val="00725B58"/>
    <w:rsid w:val="00726A57"/>
    <w:rsid w:val="00726E00"/>
    <w:rsid w:val="00727D46"/>
    <w:rsid w:val="007301EA"/>
    <w:rsid w:val="007303CD"/>
    <w:rsid w:val="00730569"/>
    <w:rsid w:val="00730CAA"/>
    <w:rsid w:val="0073223F"/>
    <w:rsid w:val="0073420D"/>
    <w:rsid w:val="00736D19"/>
    <w:rsid w:val="00737773"/>
    <w:rsid w:val="00737D4E"/>
    <w:rsid w:val="007405EC"/>
    <w:rsid w:val="00741457"/>
    <w:rsid w:val="00741CA2"/>
    <w:rsid w:val="0074254D"/>
    <w:rsid w:val="00742D29"/>
    <w:rsid w:val="00743240"/>
    <w:rsid w:val="007433FB"/>
    <w:rsid w:val="007441D7"/>
    <w:rsid w:val="00744202"/>
    <w:rsid w:val="007460C1"/>
    <w:rsid w:val="007475D5"/>
    <w:rsid w:val="007477DB"/>
    <w:rsid w:val="007500DD"/>
    <w:rsid w:val="00750FED"/>
    <w:rsid w:val="007513A1"/>
    <w:rsid w:val="00751656"/>
    <w:rsid w:val="00752BC8"/>
    <w:rsid w:val="00753AA3"/>
    <w:rsid w:val="0075437D"/>
    <w:rsid w:val="007552B7"/>
    <w:rsid w:val="0075611B"/>
    <w:rsid w:val="00756128"/>
    <w:rsid w:val="0075756C"/>
    <w:rsid w:val="00757EB7"/>
    <w:rsid w:val="007604B5"/>
    <w:rsid w:val="00760FAC"/>
    <w:rsid w:val="00761080"/>
    <w:rsid w:val="0076185D"/>
    <w:rsid w:val="00761CCA"/>
    <w:rsid w:val="00761F22"/>
    <w:rsid w:val="00762F0C"/>
    <w:rsid w:val="00763232"/>
    <w:rsid w:val="007640F5"/>
    <w:rsid w:val="00765396"/>
    <w:rsid w:val="007654B8"/>
    <w:rsid w:val="007658E1"/>
    <w:rsid w:val="007659D3"/>
    <w:rsid w:val="00767DF4"/>
    <w:rsid w:val="00770267"/>
    <w:rsid w:val="00770479"/>
    <w:rsid w:val="0077101A"/>
    <w:rsid w:val="00771628"/>
    <w:rsid w:val="00772813"/>
    <w:rsid w:val="00772E8B"/>
    <w:rsid w:val="0077350F"/>
    <w:rsid w:val="00775272"/>
    <w:rsid w:val="007756ED"/>
    <w:rsid w:val="007777A1"/>
    <w:rsid w:val="00780ABB"/>
    <w:rsid w:val="00780EEF"/>
    <w:rsid w:val="00782740"/>
    <w:rsid w:val="007827AB"/>
    <w:rsid w:val="00783261"/>
    <w:rsid w:val="007836F4"/>
    <w:rsid w:val="00783868"/>
    <w:rsid w:val="00784C12"/>
    <w:rsid w:val="00786D10"/>
    <w:rsid w:val="00787239"/>
    <w:rsid w:val="00787509"/>
    <w:rsid w:val="007912D1"/>
    <w:rsid w:val="00791486"/>
    <w:rsid w:val="00793359"/>
    <w:rsid w:val="00793A70"/>
    <w:rsid w:val="00794FA3"/>
    <w:rsid w:val="00796164"/>
    <w:rsid w:val="007A22D4"/>
    <w:rsid w:val="007A247F"/>
    <w:rsid w:val="007A2BD8"/>
    <w:rsid w:val="007A3BC8"/>
    <w:rsid w:val="007A4FB0"/>
    <w:rsid w:val="007A5244"/>
    <w:rsid w:val="007A73F0"/>
    <w:rsid w:val="007B1162"/>
    <w:rsid w:val="007B23E3"/>
    <w:rsid w:val="007B258A"/>
    <w:rsid w:val="007B46C2"/>
    <w:rsid w:val="007B5389"/>
    <w:rsid w:val="007B5D77"/>
    <w:rsid w:val="007C01D1"/>
    <w:rsid w:val="007C0D9E"/>
    <w:rsid w:val="007C21AC"/>
    <w:rsid w:val="007C21BB"/>
    <w:rsid w:val="007C23E4"/>
    <w:rsid w:val="007C3A6A"/>
    <w:rsid w:val="007C3DC6"/>
    <w:rsid w:val="007C4898"/>
    <w:rsid w:val="007C4B35"/>
    <w:rsid w:val="007C4E38"/>
    <w:rsid w:val="007C51A8"/>
    <w:rsid w:val="007C757F"/>
    <w:rsid w:val="007C75D0"/>
    <w:rsid w:val="007D3397"/>
    <w:rsid w:val="007D40BF"/>
    <w:rsid w:val="007D42A3"/>
    <w:rsid w:val="007D4647"/>
    <w:rsid w:val="007E016A"/>
    <w:rsid w:val="007E0B9C"/>
    <w:rsid w:val="007E112F"/>
    <w:rsid w:val="007E1282"/>
    <w:rsid w:val="007E16CD"/>
    <w:rsid w:val="007E3F62"/>
    <w:rsid w:val="007E4188"/>
    <w:rsid w:val="007E6A4E"/>
    <w:rsid w:val="007F08C4"/>
    <w:rsid w:val="007F2A1F"/>
    <w:rsid w:val="007F30A2"/>
    <w:rsid w:val="007F3B8C"/>
    <w:rsid w:val="007F5508"/>
    <w:rsid w:val="007F55A9"/>
    <w:rsid w:val="007F66DD"/>
    <w:rsid w:val="007F6F81"/>
    <w:rsid w:val="008003CC"/>
    <w:rsid w:val="008005AC"/>
    <w:rsid w:val="008005C1"/>
    <w:rsid w:val="00800C59"/>
    <w:rsid w:val="008011FD"/>
    <w:rsid w:val="00802067"/>
    <w:rsid w:val="008042BE"/>
    <w:rsid w:val="008066C8"/>
    <w:rsid w:val="008113B0"/>
    <w:rsid w:val="008128CE"/>
    <w:rsid w:val="00816300"/>
    <w:rsid w:val="00816E3D"/>
    <w:rsid w:val="0081709A"/>
    <w:rsid w:val="00817BFF"/>
    <w:rsid w:val="00820A85"/>
    <w:rsid w:val="00820B41"/>
    <w:rsid w:val="008222A6"/>
    <w:rsid w:val="00822F3A"/>
    <w:rsid w:val="00822F52"/>
    <w:rsid w:val="0082391E"/>
    <w:rsid w:val="008260CB"/>
    <w:rsid w:val="008312CA"/>
    <w:rsid w:val="008318E7"/>
    <w:rsid w:val="00832C37"/>
    <w:rsid w:val="00832F9C"/>
    <w:rsid w:val="00833873"/>
    <w:rsid w:val="00833CBB"/>
    <w:rsid w:val="00835025"/>
    <w:rsid w:val="008371BB"/>
    <w:rsid w:val="00837E92"/>
    <w:rsid w:val="00837FE4"/>
    <w:rsid w:val="008408F1"/>
    <w:rsid w:val="0084190A"/>
    <w:rsid w:val="00841A0C"/>
    <w:rsid w:val="00843556"/>
    <w:rsid w:val="00844F25"/>
    <w:rsid w:val="008466F7"/>
    <w:rsid w:val="00846BD6"/>
    <w:rsid w:val="008475C3"/>
    <w:rsid w:val="008513B2"/>
    <w:rsid w:val="008524B2"/>
    <w:rsid w:val="008525EF"/>
    <w:rsid w:val="008530B0"/>
    <w:rsid w:val="0085466B"/>
    <w:rsid w:val="008552E7"/>
    <w:rsid w:val="00856E5F"/>
    <w:rsid w:val="00857ED0"/>
    <w:rsid w:val="008606F8"/>
    <w:rsid w:val="00862714"/>
    <w:rsid w:val="0086279F"/>
    <w:rsid w:val="00863CD6"/>
    <w:rsid w:val="00864286"/>
    <w:rsid w:val="0086725B"/>
    <w:rsid w:val="00867D8C"/>
    <w:rsid w:val="00871A02"/>
    <w:rsid w:val="0087233D"/>
    <w:rsid w:val="00874183"/>
    <w:rsid w:val="00874BE0"/>
    <w:rsid w:val="008752BC"/>
    <w:rsid w:val="008761FD"/>
    <w:rsid w:val="008771A7"/>
    <w:rsid w:val="00880590"/>
    <w:rsid w:val="00881346"/>
    <w:rsid w:val="008817B8"/>
    <w:rsid w:val="00882737"/>
    <w:rsid w:val="008900EA"/>
    <w:rsid w:val="008912B9"/>
    <w:rsid w:val="00892270"/>
    <w:rsid w:val="00892619"/>
    <w:rsid w:val="00892881"/>
    <w:rsid w:val="00893E31"/>
    <w:rsid w:val="00893F77"/>
    <w:rsid w:val="0089562A"/>
    <w:rsid w:val="00897BCD"/>
    <w:rsid w:val="008A0CCC"/>
    <w:rsid w:val="008A2959"/>
    <w:rsid w:val="008A2B83"/>
    <w:rsid w:val="008A2FCB"/>
    <w:rsid w:val="008A3AC9"/>
    <w:rsid w:val="008A3D51"/>
    <w:rsid w:val="008A4F8B"/>
    <w:rsid w:val="008A6206"/>
    <w:rsid w:val="008A79E0"/>
    <w:rsid w:val="008B11CD"/>
    <w:rsid w:val="008B1342"/>
    <w:rsid w:val="008B36E3"/>
    <w:rsid w:val="008B457A"/>
    <w:rsid w:val="008B4B5A"/>
    <w:rsid w:val="008B6C8C"/>
    <w:rsid w:val="008B78AE"/>
    <w:rsid w:val="008C1046"/>
    <w:rsid w:val="008C32D8"/>
    <w:rsid w:val="008C3AF2"/>
    <w:rsid w:val="008C3B26"/>
    <w:rsid w:val="008C4150"/>
    <w:rsid w:val="008C49C1"/>
    <w:rsid w:val="008C5434"/>
    <w:rsid w:val="008C59C5"/>
    <w:rsid w:val="008C670E"/>
    <w:rsid w:val="008C6EA9"/>
    <w:rsid w:val="008D194C"/>
    <w:rsid w:val="008D3A4A"/>
    <w:rsid w:val="008E112C"/>
    <w:rsid w:val="008E142E"/>
    <w:rsid w:val="008E3D43"/>
    <w:rsid w:val="008E56CA"/>
    <w:rsid w:val="008E6077"/>
    <w:rsid w:val="008E6450"/>
    <w:rsid w:val="008E7C8E"/>
    <w:rsid w:val="008F08C7"/>
    <w:rsid w:val="008F11FA"/>
    <w:rsid w:val="008F1929"/>
    <w:rsid w:val="008F20B1"/>
    <w:rsid w:val="008F28D6"/>
    <w:rsid w:val="008F2FB3"/>
    <w:rsid w:val="008F3075"/>
    <w:rsid w:val="008F3681"/>
    <w:rsid w:val="008F4B05"/>
    <w:rsid w:val="008F4B49"/>
    <w:rsid w:val="008F4D0C"/>
    <w:rsid w:val="008F566E"/>
    <w:rsid w:val="008F5EFF"/>
    <w:rsid w:val="008F6C77"/>
    <w:rsid w:val="008F7E98"/>
    <w:rsid w:val="00900CA2"/>
    <w:rsid w:val="009024D2"/>
    <w:rsid w:val="0090272B"/>
    <w:rsid w:val="00903DB2"/>
    <w:rsid w:val="009041FC"/>
    <w:rsid w:val="00904C4A"/>
    <w:rsid w:val="00906387"/>
    <w:rsid w:val="00910FE5"/>
    <w:rsid w:val="0091103A"/>
    <w:rsid w:val="00911300"/>
    <w:rsid w:val="00911438"/>
    <w:rsid w:val="00912A74"/>
    <w:rsid w:val="00914F84"/>
    <w:rsid w:val="00915481"/>
    <w:rsid w:val="00915EC0"/>
    <w:rsid w:val="00916875"/>
    <w:rsid w:val="00923A99"/>
    <w:rsid w:val="00926087"/>
    <w:rsid w:val="00926678"/>
    <w:rsid w:val="009267BD"/>
    <w:rsid w:val="00926E1F"/>
    <w:rsid w:val="00927FD7"/>
    <w:rsid w:val="00930147"/>
    <w:rsid w:val="00930473"/>
    <w:rsid w:val="00930B25"/>
    <w:rsid w:val="0093148F"/>
    <w:rsid w:val="009323A0"/>
    <w:rsid w:val="00933744"/>
    <w:rsid w:val="0093387F"/>
    <w:rsid w:val="0093428B"/>
    <w:rsid w:val="009376B0"/>
    <w:rsid w:val="009405BC"/>
    <w:rsid w:val="00940862"/>
    <w:rsid w:val="00940ABA"/>
    <w:rsid w:val="00941AE1"/>
    <w:rsid w:val="009424BE"/>
    <w:rsid w:val="00943064"/>
    <w:rsid w:val="00944184"/>
    <w:rsid w:val="00944375"/>
    <w:rsid w:val="00945C45"/>
    <w:rsid w:val="0094652A"/>
    <w:rsid w:val="00947246"/>
    <w:rsid w:val="009474A6"/>
    <w:rsid w:val="00947753"/>
    <w:rsid w:val="00951112"/>
    <w:rsid w:val="00952875"/>
    <w:rsid w:val="00952CB0"/>
    <w:rsid w:val="0095528D"/>
    <w:rsid w:val="00955539"/>
    <w:rsid w:val="0095596F"/>
    <w:rsid w:val="00955E63"/>
    <w:rsid w:val="009564B5"/>
    <w:rsid w:val="00961C63"/>
    <w:rsid w:val="00961DBA"/>
    <w:rsid w:val="009620B8"/>
    <w:rsid w:val="00962365"/>
    <w:rsid w:val="0096301B"/>
    <w:rsid w:val="0096309E"/>
    <w:rsid w:val="009649E6"/>
    <w:rsid w:val="00965643"/>
    <w:rsid w:val="00966040"/>
    <w:rsid w:val="0096723C"/>
    <w:rsid w:val="00967563"/>
    <w:rsid w:val="00967D6E"/>
    <w:rsid w:val="0097010D"/>
    <w:rsid w:val="009704FC"/>
    <w:rsid w:val="00970583"/>
    <w:rsid w:val="00970D6F"/>
    <w:rsid w:val="00970FC6"/>
    <w:rsid w:val="009729DA"/>
    <w:rsid w:val="00972B23"/>
    <w:rsid w:val="009730C9"/>
    <w:rsid w:val="009757E0"/>
    <w:rsid w:val="0097660C"/>
    <w:rsid w:val="0098077F"/>
    <w:rsid w:val="00981C21"/>
    <w:rsid w:val="00982A8A"/>
    <w:rsid w:val="00983869"/>
    <w:rsid w:val="00983891"/>
    <w:rsid w:val="009847B3"/>
    <w:rsid w:val="00985E52"/>
    <w:rsid w:val="0099129A"/>
    <w:rsid w:val="0099536F"/>
    <w:rsid w:val="009968B1"/>
    <w:rsid w:val="00996F53"/>
    <w:rsid w:val="009A15E7"/>
    <w:rsid w:val="009A1609"/>
    <w:rsid w:val="009A3A45"/>
    <w:rsid w:val="009A62BE"/>
    <w:rsid w:val="009A6611"/>
    <w:rsid w:val="009A76F3"/>
    <w:rsid w:val="009B39E7"/>
    <w:rsid w:val="009B43B7"/>
    <w:rsid w:val="009B4985"/>
    <w:rsid w:val="009B4B30"/>
    <w:rsid w:val="009B53CF"/>
    <w:rsid w:val="009B5BBD"/>
    <w:rsid w:val="009B5CAA"/>
    <w:rsid w:val="009B6A06"/>
    <w:rsid w:val="009B7C91"/>
    <w:rsid w:val="009C18D1"/>
    <w:rsid w:val="009C6EA1"/>
    <w:rsid w:val="009D08DA"/>
    <w:rsid w:val="009D0B12"/>
    <w:rsid w:val="009D2568"/>
    <w:rsid w:val="009D2979"/>
    <w:rsid w:val="009D2CE6"/>
    <w:rsid w:val="009D2E15"/>
    <w:rsid w:val="009D2E25"/>
    <w:rsid w:val="009D36FF"/>
    <w:rsid w:val="009D4375"/>
    <w:rsid w:val="009D4650"/>
    <w:rsid w:val="009D48A9"/>
    <w:rsid w:val="009D6A94"/>
    <w:rsid w:val="009D74F7"/>
    <w:rsid w:val="009E1556"/>
    <w:rsid w:val="009E28AD"/>
    <w:rsid w:val="009E2DA8"/>
    <w:rsid w:val="009E3DC1"/>
    <w:rsid w:val="009E552F"/>
    <w:rsid w:val="009E58CD"/>
    <w:rsid w:val="009E6153"/>
    <w:rsid w:val="009E69EA"/>
    <w:rsid w:val="009E6F2C"/>
    <w:rsid w:val="009F10D4"/>
    <w:rsid w:val="009F21D5"/>
    <w:rsid w:val="009F2477"/>
    <w:rsid w:val="009F37DC"/>
    <w:rsid w:val="009F3AD8"/>
    <w:rsid w:val="009F499C"/>
    <w:rsid w:val="009F5057"/>
    <w:rsid w:val="009F6DC8"/>
    <w:rsid w:val="009F73F4"/>
    <w:rsid w:val="009F7DFD"/>
    <w:rsid w:val="00A00415"/>
    <w:rsid w:val="00A023D7"/>
    <w:rsid w:val="00A02C4C"/>
    <w:rsid w:val="00A02C7C"/>
    <w:rsid w:val="00A03355"/>
    <w:rsid w:val="00A034A3"/>
    <w:rsid w:val="00A03BA9"/>
    <w:rsid w:val="00A07A35"/>
    <w:rsid w:val="00A10DAA"/>
    <w:rsid w:val="00A119C3"/>
    <w:rsid w:val="00A11FAB"/>
    <w:rsid w:val="00A12838"/>
    <w:rsid w:val="00A143B0"/>
    <w:rsid w:val="00A1446D"/>
    <w:rsid w:val="00A16630"/>
    <w:rsid w:val="00A20876"/>
    <w:rsid w:val="00A20B49"/>
    <w:rsid w:val="00A20B6D"/>
    <w:rsid w:val="00A21B51"/>
    <w:rsid w:val="00A2247A"/>
    <w:rsid w:val="00A22C3A"/>
    <w:rsid w:val="00A23C40"/>
    <w:rsid w:val="00A249E0"/>
    <w:rsid w:val="00A256E6"/>
    <w:rsid w:val="00A263F8"/>
    <w:rsid w:val="00A302FC"/>
    <w:rsid w:val="00A303B5"/>
    <w:rsid w:val="00A3126E"/>
    <w:rsid w:val="00A32650"/>
    <w:rsid w:val="00A34601"/>
    <w:rsid w:val="00A363B5"/>
    <w:rsid w:val="00A371D7"/>
    <w:rsid w:val="00A4037B"/>
    <w:rsid w:val="00A440F6"/>
    <w:rsid w:val="00A4451C"/>
    <w:rsid w:val="00A46853"/>
    <w:rsid w:val="00A46870"/>
    <w:rsid w:val="00A53054"/>
    <w:rsid w:val="00A5524E"/>
    <w:rsid w:val="00A60E16"/>
    <w:rsid w:val="00A6366B"/>
    <w:rsid w:val="00A64F69"/>
    <w:rsid w:val="00A6600E"/>
    <w:rsid w:val="00A67908"/>
    <w:rsid w:val="00A67F20"/>
    <w:rsid w:val="00A71C6C"/>
    <w:rsid w:val="00A71D2A"/>
    <w:rsid w:val="00A72683"/>
    <w:rsid w:val="00A73483"/>
    <w:rsid w:val="00A738E7"/>
    <w:rsid w:val="00A73C10"/>
    <w:rsid w:val="00A75BED"/>
    <w:rsid w:val="00A760E5"/>
    <w:rsid w:val="00A776A4"/>
    <w:rsid w:val="00A8074C"/>
    <w:rsid w:val="00A81925"/>
    <w:rsid w:val="00A81AB7"/>
    <w:rsid w:val="00A821E4"/>
    <w:rsid w:val="00A8224E"/>
    <w:rsid w:val="00A829CC"/>
    <w:rsid w:val="00A82AFF"/>
    <w:rsid w:val="00A831F3"/>
    <w:rsid w:val="00A856E7"/>
    <w:rsid w:val="00A85F5C"/>
    <w:rsid w:val="00A86EA6"/>
    <w:rsid w:val="00A875F2"/>
    <w:rsid w:val="00A87860"/>
    <w:rsid w:val="00A87EB2"/>
    <w:rsid w:val="00A90626"/>
    <w:rsid w:val="00A91B63"/>
    <w:rsid w:val="00A92392"/>
    <w:rsid w:val="00A93C7E"/>
    <w:rsid w:val="00A94703"/>
    <w:rsid w:val="00A94921"/>
    <w:rsid w:val="00A95C26"/>
    <w:rsid w:val="00A96DB4"/>
    <w:rsid w:val="00A972BE"/>
    <w:rsid w:val="00AA0CFD"/>
    <w:rsid w:val="00AA3D12"/>
    <w:rsid w:val="00AA3E65"/>
    <w:rsid w:val="00AA437D"/>
    <w:rsid w:val="00AA4496"/>
    <w:rsid w:val="00AA5059"/>
    <w:rsid w:val="00AA5571"/>
    <w:rsid w:val="00AA565D"/>
    <w:rsid w:val="00AA6276"/>
    <w:rsid w:val="00AA6477"/>
    <w:rsid w:val="00AA6859"/>
    <w:rsid w:val="00AA6ABF"/>
    <w:rsid w:val="00AA6CF8"/>
    <w:rsid w:val="00AB0899"/>
    <w:rsid w:val="00AB1BAE"/>
    <w:rsid w:val="00AB2B51"/>
    <w:rsid w:val="00AB2CFA"/>
    <w:rsid w:val="00AB3084"/>
    <w:rsid w:val="00AB316B"/>
    <w:rsid w:val="00AB341C"/>
    <w:rsid w:val="00AB3698"/>
    <w:rsid w:val="00AB565D"/>
    <w:rsid w:val="00AB6930"/>
    <w:rsid w:val="00AB7423"/>
    <w:rsid w:val="00AC0824"/>
    <w:rsid w:val="00AC0A71"/>
    <w:rsid w:val="00AC0E84"/>
    <w:rsid w:val="00AC19A6"/>
    <w:rsid w:val="00AC2C0B"/>
    <w:rsid w:val="00AC523F"/>
    <w:rsid w:val="00AC52A2"/>
    <w:rsid w:val="00AC589B"/>
    <w:rsid w:val="00AC69BC"/>
    <w:rsid w:val="00AC6FA9"/>
    <w:rsid w:val="00AC70B4"/>
    <w:rsid w:val="00AD083A"/>
    <w:rsid w:val="00AD1A91"/>
    <w:rsid w:val="00AD1B97"/>
    <w:rsid w:val="00AD2FFD"/>
    <w:rsid w:val="00AD336D"/>
    <w:rsid w:val="00AD4084"/>
    <w:rsid w:val="00AE03E5"/>
    <w:rsid w:val="00AE05CA"/>
    <w:rsid w:val="00AE0F27"/>
    <w:rsid w:val="00AE1D29"/>
    <w:rsid w:val="00AE3645"/>
    <w:rsid w:val="00AE3E29"/>
    <w:rsid w:val="00AE40DE"/>
    <w:rsid w:val="00AE5BE1"/>
    <w:rsid w:val="00AE7042"/>
    <w:rsid w:val="00AE7420"/>
    <w:rsid w:val="00AE7677"/>
    <w:rsid w:val="00AF1589"/>
    <w:rsid w:val="00AF46E4"/>
    <w:rsid w:val="00AF4DC2"/>
    <w:rsid w:val="00AF662F"/>
    <w:rsid w:val="00AF67BB"/>
    <w:rsid w:val="00AF67C0"/>
    <w:rsid w:val="00AF7742"/>
    <w:rsid w:val="00B01530"/>
    <w:rsid w:val="00B02CD6"/>
    <w:rsid w:val="00B04D2D"/>
    <w:rsid w:val="00B06100"/>
    <w:rsid w:val="00B114AE"/>
    <w:rsid w:val="00B117C4"/>
    <w:rsid w:val="00B11EC5"/>
    <w:rsid w:val="00B12502"/>
    <w:rsid w:val="00B12F00"/>
    <w:rsid w:val="00B1464A"/>
    <w:rsid w:val="00B15109"/>
    <w:rsid w:val="00B159FD"/>
    <w:rsid w:val="00B15DD6"/>
    <w:rsid w:val="00B15E50"/>
    <w:rsid w:val="00B16592"/>
    <w:rsid w:val="00B17A91"/>
    <w:rsid w:val="00B17F81"/>
    <w:rsid w:val="00B2298C"/>
    <w:rsid w:val="00B22BAB"/>
    <w:rsid w:val="00B23DBD"/>
    <w:rsid w:val="00B25837"/>
    <w:rsid w:val="00B264BF"/>
    <w:rsid w:val="00B3089A"/>
    <w:rsid w:val="00B314BD"/>
    <w:rsid w:val="00B316B3"/>
    <w:rsid w:val="00B32077"/>
    <w:rsid w:val="00B32170"/>
    <w:rsid w:val="00B3462A"/>
    <w:rsid w:val="00B35098"/>
    <w:rsid w:val="00B35A56"/>
    <w:rsid w:val="00B35CFF"/>
    <w:rsid w:val="00B36C65"/>
    <w:rsid w:val="00B36D2A"/>
    <w:rsid w:val="00B3764C"/>
    <w:rsid w:val="00B37D5E"/>
    <w:rsid w:val="00B40241"/>
    <w:rsid w:val="00B40F6C"/>
    <w:rsid w:val="00B417E9"/>
    <w:rsid w:val="00B439CC"/>
    <w:rsid w:val="00B46AC8"/>
    <w:rsid w:val="00B477DD"/>
    <w:rsid w:val="00B47926"/>
    <w:rsid w:val="00B51483"/>
    <w:rsid w:val="00B5155D"/>
    <w:rsid w:val="00B51AC8"/>
    <w:rsid w:val="00B552BA"/>
    <w:rsid w:val="00B562B7"/>
    <w:rsid w:val="00B5662A"/>
    <w:rsid w:val="00B60918"/>
    <w:rsid w:val="00B61747"/>
    <w:rsid w:val="00B61FE9"/>
    <w:rsid w:val="00B620ED"/>
    <w:rsid w:val="00B63123"/>
    <w:rsid w:val="00B63588"/>
    <w:rsid w:val="00B63DCC"/>
    <w:rsid w:val="00B6627A"/>
    <w:rsid w:val="00B66B89"/>
    <w:rsid w:val="00B66E76"/>
    <w:rsid w:val="00B6716A"/>
    <w:rsid w:val="00B67BC3"/>
    <w:rsid w:val="00B67D34"/>
    <w:rsid w:val="00B737F1"/>
    <w:rsid w:val="00B80809"/>
    <w:rsid w:val="00B8082D"/>
    <w:rsid w:val="00B8329A"/>
    <w:rsid w:val="00B83C6E"/>
    <w:rsid w:val="00B84E0A"/>
    <w:rsid w:val="00B866E0"/>
    <w:rsid w:val="00B87979"/>
    <w:rsid w:val="00B9052F"/>
    <w:rsid w:val="00B9218B"/>
    <w:rsid w:val="00B92301"/>
    <w:rsid w:val="00B92858"/>
    <w:rsid w:val="00B938B9"/>
    <w:rsid w:val="00B94B2D"/>
    <w:rsid w:val="00B966B0"/>
    <w:rsid w:val="00B96BF6"/>
    <w:rsid w:val="00B979E4"/>
    <w:rsid w:val="00BA036E"/>
    <w:rsid w:val="00BA1BE7"/>
    <w:rsid w:val="00BA29D3"/>
    <w:rsid w:val="00BA2D2F"/>
    <w:rsid w:val="00BA35C6"/>
    <w:rsid w:val="00BA3ED8"/>
    <w:rsid w:val="00BA4402"/>
    <w:rsid w:val="00BA501F"/>
    <w:rsid w:val="00BA5AA8"/>
    <w:rsid w:val="00BA5F61"/>
    <w:rsid w:val="00BA62DA"/>
    <w:rsid w:val="00BB1D3B"/>
    <w:rsid w:val="00BB1DE8"/>
    <w:rsid w:val="00BB4FA8"/>
    <w:rsid w:val="00BB6D4D"/>
    <w:rsid w:val="00BB704C"/>
    <w:rsid w:val="00BC011B"/>
    <w:rsid w:val="00BC1C0C"/>
    <w:rsid w:val="00BC2093"/>
    <w:rsid w:val="00BC2244"/>
    <w:rsid w:val="00BC4357"/>
    <w:rsid w:val="00BC514C"/>
    <w:rsid w:val="00BC5499"/>
    <w:rsid w:val="00BC5E40"/>
    <w:rsid w:val="00BC70CE"/>
    <w:rsid w:val="00BC7142"/>
    <w:rsid w:val="00BD05A0"/>
    <w:rsid w:val="00BD106A"/>
    <w:rsid w:val="00BD147D"/>
    <w:rsid w:val="00BD1E5A"/>
    <w:rsid w:val="00BD35BB"/>
    <w:rsid w:val="00BD3E52"/>
    <w:rsid w:val="00BD46EC"/>
    <w:rsid w:val="00BD52F4"/>
    <w:rsid w:val="00BD5E2C"/>
    <w:rsid w:val="00BD68B5"/>
    <w:rsid w:val="00BE067D"/>
    <w:rsid w:val="00BE0D8B"/>
    <w:rsid w:val="00BE14BA"/>
    <w:rsid w:val="00BE1AB8"/>
    <w:rsid w:val="00BE2104"/>
    <w:rsid w:val="00BE4C72"/>
    <w:rsid w:val="00BE52D2"/>
    <w:rsid w:val="00BE6340"/>
    <w:rsid w:val="00BE67F1"/>
    <w:rsid w:val="00BE6849"/>
    <w:rsid w:val="00BE742C"/>
    <w:rsid w:val="00BE7CCA"/>
    <w:rsid w:val="00BF0FCD"/>
    <w:rsid w:val="00BF221B"/>
    <w:rsid w:val="00BF34A7"/>
    <w:rsid w:val="00BF46E9"/>
    <w:rsid w:val="00BF4CE3"/>
    <w:rsid w:val="00BF5591"/>
    <w:rsid w:val="00BF6B0F"/>
    <w:rsid w:val="00BF724C"/>
    <w:rsid w:val="00BF796A"/>
    <w:rsid w:val="00C00D9F"/>
    <w:rsid w:val="00C012DD"/>
    <w:rsid w:val="00C01D1E"/>
    <w:rsid w:val="00C028A9"/>
    <w:rsid w:val="00C03AEB"/>
    <w:rsid w:val="00C04450"/>
    <w:rsid w:val="00C06972"/>
    <w:rsid w:val="00C06A65"/>
    <w:rsid w:val="00C07E12"/>
    <w:rsid w:val="00C1019E"/>
    <w:rsid w:val="00C12995"/>
    <w:rsid w:val="00C13E57"/>
    <w:rsid w:val="00C13F76"/>
    <w:rsid w:val="00C17CB4"/>
    <w:rsid w:val="00C21E42"/>
    <w:rsid w:val="00C2362A"/>
    <w:rsid w:val="00C23692"/>
    <w:rsid w:val="00C23ADC"/>
    <w:rsid w:val="00C262C1"/>
    <w:rsid w:val="00C26A17"/>
    <w:rsid w:val="00C2706B"/>
    <w:rsid w:val="00C27272"/>
    <w:rsid w:val="00C27745"/>
    <w:rsid w:val="00C310EB"/>
    <w:rsid w:val="00C319C2"/>
    <w:rsid w:val="00C32441"/>
    <w:rsid w:val="00C328CA"/>
    <w:rsid w:val="00C32C56"/>
    <w:rsid w:val="00C32D54"/>
    <w:rsid w:val="00C35428"/>
    <w:rsid w:val="00C35865"/>
    <w:rsid w:val="00C35A79"/>
    <w:rsid w:val="00C3682D"/>
    <w:rsid w:val="00C37CC2"/>
    <w:rsid w:val="00C40283"/>
    <w:rsid w:val="00C405BD"/>
    <w:rsid w:val="00C40793"/>
    <w:rsid w:val="00C411A2"/>
    <w:rsid w:val="00C42037"/>
    <w:rsid w:val="00C42061"/>
    <w:rsid w:val="00C43737"/>
    <w:rsid w:val="00C44661"/>
    <w:rsid w:val="00C44E32"/>
    <w:rsid w:val="00C46871"/>
    <w:rsid w:val="00C46FE2"/>
    <w:rsid w:val="00C506A0"/>
    <w:rsid w:val="00C544D5"/>
    <w:rsid w:val="00C55F6A"/>
    <w:rsid w:val="00C56639"/>
    <w:rsid w:val="00C57815"/>
    <w:rsid w:val="00C60E59"/>
    <w:rsid w:val="00C6299E"/>
    <w:rsid w:val="00C636C3"/>
    <w:rsid w:val="00C63B48"/>
    <w:rsid w:val="00C63F2F"/>
    <w:rsid w:val="00C646A6"/>
    <w:rsid w:val="00C649E7"/>
    <w:rsid w:val="00C664DF"/>
    <w:rsid w:val="00C67235"/>
    <w:rsid w:val="00C6746B"/>
    <w:rsid w:val="00C70E6E"/>
    <w:rsid w:val="00C71EEE"/>
    <w:rsid w:val="00C7350E"/>
    <w:rsid w:val="00C738F2"/>
    <w:rsid w:val="00C7403D"/>
    <w:rsid w:val="00C74905"/>
    <w:rsid w:val="00C75272"/>
    <w:rsid w:val="00C76306"/>
    <w:rsid w:val="00C764A6"/>
    <w:rsid w:val="00C76574"/>
    <w:rsid w:val="00C770DB"/>
    <w:rsid w:val="00C81BF3"/>
    <w:rsid w:val="00C81EC5"/>
    <w:rsid w:val="00C836FC"/>
    <w:rsid w:val="00C8512F"/>
    <w:rsid w:val="00C85977"/>
    <w:rsid w:val="00C87697"/>
    <w:rsid w:val="00C90117"/>
    <w:rsid w:val="00C90C48"/>
    <w:rsid w:val="00C91DBC"/>
    <w:rsid w:val="00C91E39"/>
    <w:rsid w:val="00C929E2"/>
    <w:rsid w:val="00C94B77"/>
    <w:rsid w:val="00C95ECF"/>
    <w:rsid w:val="00C96570"/>
    <w:rsid w:val="00CA0341"/>
    <w:rsid w:val="00CA0FE4"/>
    <w:rsid w:val="00CA0FED"/>
    <w:rsid w:val="00CA3EB2"/>
    <w:rsid w:val="00CA5C68"/>
    <w:rsid w:val="00CA6517"/>
    <w:rsid w:val="00CA78A8"/>
    <w:rsid w:val="00CA7BEC"/>
    <w:rsid w:val="00CB0D8E"/>
    <w:rsid w:val="00CB1828"/>
    <w:rsid w:val="00CB2568"/>
    <w:rsid w:val="00CB2D15"/>
    <w:rsid w:val="00CB46BD"/>
    <w:rsid w:val="00CB4C48"/>
    <w:rsid w:val="00CB4D8B"/>
    <w:rsid w:val="00CB4E29"/>
    <w:rsid w:val="00CB4EEB"/>
    <w:rsid w:val="00CB5A62"/>
    <w:rsid w:val="00CB6698"/>
    <w:rsid w:val="00CC06EB"/>
    <w:rsid w:val="00CC20F6"/>
    <w:rsid w:val="00CC3299"/>
    <w:rsid w:val="00CC5A7F"/>
    <w:rsid w:val="00CC6514"/>
    <w:rsid w:val="00CC7F03"/>
    <w:rsid w:val="00CD0AE9"/>
    <w:rsid w:val="00CD2203"/>
    <w:rsid w:val="00CD45F6"/>
    <w:rsid w:val="00CD477F"/>
    <w:rsid w:val="00CD4D1C"/>
    <w:rsid w:val="00CD6B7C"/>
    <w:rsid w:val="00CD772C"/>
    <w:rsid w:val="00CD7963"/>
    <w:rsid w:val="00CE06A1"/>
    <w:rsid w:val="00CE0760"/>
    <w:rsid w:val="00CE0CD5"/>
    <w:rsid w:val="00CE0E9D"/>
    <w:rsid w:val="00CE1316"/>
    <w:rsid w:val="00CE28EB"/>
    <w:rsid w:val="00CE4DC8"/>
    <w:rsid w:val="00CE79B8"/>
    <w:rsid w:val="00CF137A"/>
    <w:rsid w:val="00CF30CF"/>
    <w:rsid w:val="00CF431F"/>
    <w:rsid w:val="00CF5C5E"/>
    <w:rsid w:val="00CF6CD9"/>
    <w:rsid w:val="00D00B1D"/>
    <w:rsid w:val="00D02C22"/>
    <w:rsid w:val="00D02F09"/>
    <w:rsid w:val="00D046F9"/>
    <w:rsid w:val="00D04BA6"/>
    <w:rsid w:val="00D04F75"/>
    <w:rsid w:val="00D05C81"/>
    <w:rsid w:val="00D07BE5"/>
    <w:rsid w:val="00D10082"/>
    <w:rsid w:val="00D10DA1"/>
    <w:rsid w:val="00D11156"/>
    <w:rsid w:val="00D113A6"/>
    <w:rsid w:val="00D11840"/>
    <w:rsid w:val="00D1201D"/>
    <w:rsid w:val="00D16715"/>
    <w:rsid w:val="00D1710F"/>
    <w:rsid w:val="00D17C61"/>
    <w:rsid w:val="00D20219"/>
    <w:rsid w:val="00D20957"/>
    <w:rsid w:val="00D20E80"/>
    <w:rsid w:val="00D21795"/>
    <w:rsid w:val="00D21C84"/>
    <w:rsid w:val="00D2248C"/>
    <w:rsid w:val="00D22EE9"/>
    <w:rsid w:val="00D2312A"/>
    <w:rsid w:val="00D24055"/>
    <w:rsid w:val="00D253ED"/>
    <w:rsid w:val="00D272B8"/>
    <w:rsid w:val="00D273E5"/>
    <w:rsid w:val="00D30545"/>
    <w:rsid w:val="00D30961"/>
    <w:rsid w:val="00D31C92"/>
    <w:rsid w:val="00D324B0"/>
    <w:rsid w:val="00D3256D"/>
    <w:rsid w:val="00D3261C"/>
    <w:rsid w:val="00D32633"/>
    <w:rsid w:val="00D32ADE"/>
    <w:rsid w:val="00D32D23"/>
    <w:rsid w:val="00D32DFC"/>
    <w:rsid w:val="00D332A9"/>
    <w:rsid w:val="00D34D90"/>
    <w:rsid w:val="00D36F18"/>
    <w:rsid w:val="00D37DBE"/>
    <w:rsid w:val="00D40E08"/>
    <w:rsid w:val="00D4155A"/>
    <w:rsid w:val="00D41574"/>
    <w:rsid w:val="00D433D8"/>
    <w:rsid w:val="00D44A81"/>
    <w:rsid w:val="00D44E9D"/>
    <w:rsid w:val="00D470FA"/>
    <w:rsid w:val="00D47DF5"/>
    <w:rsid w:val="00D51346"/>
    <w:rsid w:val="00D515F1"/>
    <w:rsid w:val="00D54521"/>
    <w:rsid w:val="00D57AF3"/>
    <w:rsid w:val="00D61427"/>
    <w:rsid w:val="00D615C1"/>
    <w:rsid w:val="00D629B2"/>
    <w:rsid w:val="00D643E4"/>
    <w:rsid w:val="00D65129"/>
    <w:rsid w:val="00D653BC"/>
    <w:rsid w:val="00D6597E"/>
    <w:rsid w:val="00D6652B"/>
    <w:rsid w:val="00D66723"/>
    <w:rsid w:val="00D7009F"/>
    <w:rsid w:val="00D720F3"/>
    <w:rsid w:val="00D7244E"/>
    <w:rsid w:val="00D73B5E"/>
    <w:rsid w:val="00D74E68"/>
    <w:rsid w:val="00D7580F"/>
    <w:rsid w:val="00D77D06"/>
    <w:rsid w:val="00D8019E"/>
    <w:rsid w:val="00D80C4F"/>
    <w:rsid w:val="00D81E5D"/>
    <w:rsid w:val="00D82A45"/>
    <w:rsid w:val="00D84287"/>
    <w:rsid w:val="00D8675B"/>
    <w:rsid w:val="00D92254"/>
    <w:rsid w:val="00D9244E"/>
    <w:rsid w:val="00D92897"/>
    <w:rsid w:val="00D94D10"/>
    <w:rsid w:val="00D95D7E"/>
    <w:rsid w:val="00D96058"/>
    <w:rsid w:val="00D9645D"/>
    <w:rsid w:val="00DA11EF"/>
    <w:rsid w:val="00DA3168"/>
    <w:rsid w:val="00DA3368"/>
    <w:rsid w:val="00DA39E4"/>
    <w:rsid w:val="00DA4BE0"/>
    <w:rsid w:val="00DA5B47"/>
    <w:rsid w:val="00DB0177"/>
    <w:rsid w:val="00DB09D9"/>
    <w:rsid w:val="00DB0C89"/>
    <w:rsid w:val="00DB0E0C"/>
    <w:rsid w:val="00DB29CF"/>
    <w:rsid w:val="00DB323C"/>
    <w:rsid w:val="00DB329D"/>
    <w:rsid w:val="00DB33C3"/>
    <w:rsid w:val="00DB48B1"/>
    <w:rsid w:val="00DB5429"/>
    <w:rsid w:val="00DB5796"/>
    <w:rsid w:val="00DB679C"/>
    <w:rsid w:val="00DB7F37"/>
    <w:rsid w:val="00DC0B81"/>
    <w:rsid w:val="00DC17E5"/>
    <w:rsid w:val="00DC245E"/>
    <w:rsid w:val="00DC2635"/>
    <w:rsid w:val="00DC2DF6"/>
    <w:rsid w:val="00DC3C24"/>
    <w:rsid w:val="00DC55E5"/>
    <w:rsid w:val="00DC592C"/>
    <w:rsid w:val="00DC5BCD"/>
    <w:rsid w:val="00DC708E"/>
    <w:rsid w:val="00DD02B0"/>
    <w:rsid w:val="00DD08F5"/>
    <w:rsid w:val="00DD1257"/>
    <w:rsid w:val="00DD1848"/>
    <w:rsid w:val="00DD2830"/>
    <w:rsid w:val="00DD2F14"/>
    <w:rsid w:val="00DD5428"/>
    <w:rsid w:val="00DD6A42"/>
    <w:rsid w:val="00DD6C88"/>
    <w:rsid w:val="00DD7214"/>
    <w:rsid w:val="00DD7E5A"/>
    <w:rsid w:val="00DE2F73"/>
    <w:rsid w:val="00DE34C3"/>
    <w:rsid w:val="00DE4AB2"/>
    <w:rsid w:val="00DE5339"/>
    <w:rsid w:val="00DE6B62"/>
    <w:rsid w:val="00DE7E80"/>
    <w:rsid w:val="00DF1AAF"/>
    <w:rsid w:val="00DF1D8A"/>
    <w:rsid w:val="00DF24DC"/>
    <w:rsid w:val="00DF268E"/>
    <w:rsid w:val="00DF3494"/>
    <w:rsid w:val="00DF525E"/>
    <w:rsid w:val="00DF67E6"/>
    <w:rsid w:val="00DF715C"/>
    <w:rsid w:val="00E00432"/>
    <w:rsid w:val="00E01014"/>
    <w:rsid w:val="00E03725"/>
    <w:rsid w:val="00E03786"/>
    <w:rsid w:val="00E06F1C"/>
    <w:rsid w:val="00E07254"/>
    <w:rsid w:val="00E0743A"/>
    <w:rsid w:val="00E1444D"/>
    <w:rsid w:val="00E16C73"/>
    <w:rsid w:val="00E2015C"/>
    <w:rsid w:val="00E207E7"/>
    <w:rsid w:val="00E21592"/>
    <w:rsid w:val="00E21B09"/>
    <w:rsid w:val="00E2237F"/>
    <w:rsid w:val="00E23440"/>
    <w:rsid w:val="00E255FF"/>
    <w:rsid w:val="00E25A64"/>
    <w:rsid w:val="00E267D9"/>
    <w:rsid w:val="00E31E8B"/>
    <w:rsid w:val="00E321D3"/>
    <w:rsid w:val="00E33032"/>
    <w:rsid w:val="00E335B9"/>
    <w:rsid w:val="00E33C2A"/>
    <w:rsid w:val="00E341A3"/>
    <w:rsid w:val="00E37A49"/>
    <w:rsid w:val="00E37B5F"/>
    <w:rsid w:val="00E424EC"/>
    <w:rsid w:val="00E42851"/>
    <w:rsid w:val="00E4294D"/>
    <w:rsid w:val="00E446D8"/>
    <w:rsid w:val="00E44AE8"/>
    <w:rsid w:val="00E44D78"/>
    <w:rsid w:val="00E452F8"/>
    <w:rsid w:val="00E4581D"/>
    <w:rsid w:val="00E45A03"/>
    <w:rsid w:val="00E45BF9"/>
    <w:rsid w:val="00E46178"/>
    <w:rsid w:val="00E463C0"/>
    <w:rsid w:val="00E46B14"/>
    <w:rsid w:val="00E46CBF"/>
    <w:rsid w:val="00E5060C"/>
    <w:rsid w:val="00E509C3"/>
    <w:rsid w:val="00E53FBA"/>
    <w:rsid w:val="00E5448D"/>
    <w:rsid w:val="00E54B2D"/>
    <w:rsid w:val="00E552B0"/>
    <w:rsid w:val="00E55936"/>
    <w:rsid w:val="00E5594F"/>
    <w:rsid w:val="00E55BC7"/>
    <w:rsid w:val="00E56111"/>
    <w:rsid w:val="00E56213"/>
    <w:rsid w:val="00E56385"/>
    <w:rsid w:val="00E5721C"/>
    <w:rsid w:val="00E57FF5"/>
    <w:rsid w:val="00E60ACC"/>
    <w:rsid w:val="00E61063"/>
    <w:rsid w:val="00E63442"/>
    <w:rsid w:val="00E63997"/>
    <w:rsid w:val="00E648D0"/>
    <w:rsid w:val="00E65772"/>
    <w:rsid w:val="00E66075"/>
    <w:rsid w:val="00E67A86"/>
    <w:rsid w:val="00E70E53"/>
    <w:rsid w:val="00E715C5"/>
    <w:rsid w:val="00E71FB0"/>
    <w:rsid w:val="00E7252E"/>
    <w:rsid w:val="00E74737"/>
    <w:rsid w:val="00E74ADC"/>
    <w:rsid w:val="00E74CAC"/>
    <w:rsid w:val="00E74E15"/>
    <w:rsid w:val="00E75F6E"/>
    <w:rsid w:val="00E76164"/>
    <w:rsid w:val="00E804A6"/>
    <w:rsid w:val="00E8055F"/>
    <w:rsid w:val="00E83A4B"/>
    <w:rsid w:val="00E8487F"/>
    <w:rsid w:val="00E8526A"/>
    <w:rsid w:val="00E85F87"/>
    <w:rsid w:val="00E866A6"/>
    <w:rsid w:val="00E901E7"/>
    <w:rsid w:val="00E91D4D"/>
    <w:rsid w:val="00E92057"/>
    <w:rsid w:val="00E9638D"/>
    <w:rsid w:val="00E9644F"/>
    <w:rsid w:val="00E9797D"/>
    <w:rsid w:val="00EA037D"/>
    <w:rsid w:val="00EA04D9"/>
    <w:rsid w:val="00EA08BA"/>
    <w:rsid w:val="00EA3DA5"/>
    <w:rsid w:val="00EA5B9F"/>
    <w:rsid w:val="00EB0064"/>
    <w:rsid w:val="00EB052A"/>
    <w:rsid w:val="00EB2A67"/>
    <w:rsid w:val="00EB2E4E"/>
    <w:rsid w:val="00EB3006"/>
    <w:rsid w:val="00EB369F"/>
    <w:rsid w:val="00EB3CC5"/>
    <w:rsid w:val="00EB43CE"/>
    <w:rsid w:val="00EB6CC2"/>
    <w:rsid w:val="00EB7138"/>
    <w:rsid w:val="00EC04DC"/>
    <w:rsid w:val="00EC166D"/>
    <w:rsid w:val="00EC1E36"/>
    <w:rsid w:val="00EC2F48"/>
    <w:rsid w:val="00EC3B24"/>
    <w:rsid w:val="00EC436D"/>
    <w:rsid w:val="00EC47AA"/>
    <w:rsid w:val="00EC4ECF"/>
    <w:rsid w:val="00EC5885"/>
    <w:rsid w:val="00EC5D63"/>
    <w:rsid w:val="00EC5E79"/>
    <w:rsid w:val="00ED18CD"/>
    <w:rsid w:val="00ED2F29"/>
    <w:rsid w:val="00ED390C"/>
    <w:rsid w:val="00ED4BFF"/>
    <w:rsid w:val="00ED51F7"/>
    <w:rsid w:val="00ED5A26"/>
    <w:rsid w:val="00ED5BB3"/>
    <w:rsid w:val="00ED6C2C"/>
    <w:rsid w:val="00EE0AEA"/>
    <w:rsid w:val="00EE13CF"/>
    <w:rsid w:val="00EE4667"/>
    <w:rsid w:val="00EE7778"/>
    <w:rsid w:val="00EF15E5"/>
    <w:rsid w:val="00EF259E"/>
    <w:rsid w:val="00EF29C2"/>
    <w:rsid w:val="00EF2D6F"/>
    <w:rsid w:val="00EF3CAC"/>
    <w:rsid w:val="00EF3D7A"/>
    <w:rsid w:val="00EF4076"/>
    <w:rsid w:val="00EF74BF"/>
    <w:rsid w:val="00F004F6"/>
    <w:rsid w:val="00F0085E"/>
    <w:rsid w:val="00F014C3"/>
    <w:rsid w:val="00F01BAE"/>
    <w:rsid w:val="00F01DF5"/>
    <w:rsid w:val="00F026F3"/>
    <w:rsid w:val="00F0389B"/>
    <w:rsid w:val="00F043C3"/>
    <w:rsid w:val="00F075ED"/>
    <w:rsid w:val="00F10B92"/>
    <w:rsid w:val="00F119E3"/>
    <w:rsid w:val="00F134BB"/>
    <w:rsid w:val="00F16BBF"/>
    <w:rsid w:val="00F17E92"/>
    <w:rsid w:val="00F17FA9"/>
    <w:rsid w:val="00F20193"/>
    <w:rsid w:val="00F2020A"/>
    <w:rsid w:val="00F2027F"/>
    <w:rsid w:val="00F20B5B"/>
    <w:rsid w:val="00F211AF"/>
    <w:rsid w:val="00F21355"/>
    <w:rsid w:val="00F218D3"/>
    <w:rsid w:val="00F21B45"/>
    <w:rsid w:val="00F222E4"/>
    <w:rsid w:val="00F22FB3"/>
    <w:rsid w:val="00F235AC"/>
    <w:rsid w:val="00F24082"/>
    <w:rsid w:val="00F2566A"/>
    <w:rsid w:val="00F27656"/>
    <w:rsid w:val="00F30D6A"/>
    <w:rsid w:val="00F3171D"/>
    <w:rsid w:val="00F32359"/>
    <w:rsid w:val="00F32ACE"/>
    <w:rsid w:val="00F34484"/>
    <w:rsid w:val="00F348F5"/>
    <w:rsid w:val="00F35241"/>
    <w:rsid w:val="00F36374"/>
    <w:rsid w:val="00F364E3"/>
    <w:rsid w:val="00F36DE0"/>
    <w:rsid w:val="00F3768A"/>
    <w:rsid w:val="00F401AB"/>
    <w:rsid w:val="00F4050E"/>
    <w:rsid w:val="00F41F3B"/>
    <w:rsid w:val="00F42EC3"/>
    <w:rsid w:val="00F43946"/>
    <w:rsid w:val="00F45823"/>
    <w:rsid w:val="00F47412"/>
    <w:rsid w:val="00F50151"/>
    <w:rsid w:val="00F5024F"/>
    <w:rsid w:val="00F502AA"/>
    <w:rsid w:val="00F50E0F"/>
    <w:rsid w:val="00F51218"/>
    <w:rsid w:val="00F51DC4"/>
    <w:rsid w:val="00F53DF6"/>
    <w:rsid w:val="00F547E0"/>
    <w:rsid w:val="00F55719"/>
    <w:rsid w:val="00F55C23"/>
    <w:rsid w:val="00F56CBD"/>
    <w:rsid w:val="00F575C7"/>
    <w:rsid w:val="00F6048C"/>
    <w:rsid w:val="00F61791"/>
    <w:rsid w:val="00F62FF2"/>
    <w:rsid w:val="00F6368C"/>
    <w:rsid w:val="00F637D2"/>
    <w:rsid w:val="00F64661"/>
    <w:rsid w:val="00F64E01"/>
    <w:rsid w:val="00F7079B"/>
    <w:rsid w:val="00F7091D"/>
    <w:rsid w:val="00F71370"/>
    <w:rsid w:val="00F714AE"/>
    <w:rsid w:val="00F75992"/>
    <w:rsid w:val="00F760DC"/>
    <w:rsid w:val="00F76ACE"/>
    <w:rsid w:val="00F76E3C"/>
    <w:rsid w:val="00F777B6"/>
    <w:rsid w:val="00F8072A"/>
    <w:rsid w:val="00F80890"/>
    <w:rsid w:val="00F81277"/>
    <w:rsid w:val="00F822AC"/>
    <w:rsid w:val="00F83378"/>
    <w:rsid w:val="00F83D17"/>
    <w:rsid w:val="00F84B72"/>
    <w:rsid w:val="00F84E82"/>
    <w:rsid w:val="00F85A7B"/>
    <w:rsid w:val="00F87259"/>
    <w:rsid w:val="00F9019B"/>
    <w:rsid w:val="00F90609"/>
    <w:rsid w:val="00F90D81"/>
    <w:rsid w:val="00F91F1D"/>
    <w:rsid w:val="00F9218C"/>
    <w:rsid w:val="00F92ABD"/>
    <w:rsid w:val="00F933A6"/>
    <w:rsid w:val="00F947A2"/>
    <w:rsid w:val="00F94812"/>
    <w:rsid w:val="00F9716B"/>
    <w:rsid w:val="00F973EC"/>
    <w:rsid w:val="00FA23EC"/>
    <w:rsid w:val="00FA34F4"/>
    <w:rsid w:val="00FA3665"/>
    <w:rsid w:val="00FA41DD"/>
    <w:rsid w:val="00FA5D20"/>
    <w:rsid w:val="00FA6C61"/>
    <w:rsid w:val="00FA73C0"/>
    <w:rsid w:val="00FA7812"/>
    <w:rsid w:val="00FB0B75"/>
    <w:rsid w:val="00FB3BF6"/>
    <w:rsid w:val="00FB4262"/>
    <w:rsid w:val="00FB4FF8"/>
    <w:rsid w:val="00FB5B0B"/>
    <w:rsid w:val="00FB5BAE"/>
    <w:rsid w:val="00FB74AE"/>
    <w:rsid w:val="00FC1706"/>
    <w:rsid w:val="00FC22F7"/>
    <w:rsid w:val="00FC360F"/>
    <w:rsid w:val="00FC3C02"/>
    <w:rsid w:val="00FC3D08"/>
    <w:rsid w:val="00FC4193"/>
    <w:rsid w:val="00FC42E0"/>
    <w:rsid w:val="00FC46E9"/>
    <w:rsid w:val="00FC786C"/>
    <w:rsid w:val="00FD0F13"/>
    <w:rsid w:val="00FD1C61"/>
    <w:rsid w:val="00FD241B"/>
    <w:rsid w:val="00FD3C0D"/>
    <w:rsid w:val="00FD4708"/>
    <w:rsid w:val="00FD4BE7"/>
    <w:rsid w:val="00FD6552"/>
    <w:rsid w:val="00FD7097"/>
    <w:rsid w:val="00FD786A"/>
    <w:rsid w:val="00FE03AF"/>
    <w:rsid w:val="00FE088A"/>
    <w:rsid w:val="00FE1F90"/>
    <w:rsid w:val="00FE623D"/>
    <w:rsid w:val="00FE73C2"/>
    <w:rsid w:val="00FF0320"/>
    <w:rsid w:val="00FF0814"/>
    <w:rsid w:val="00FF0FB6"/>
    <w:rsid w:val="00FF1735"/>
    <w:rsid w:val="00FF1F47"/>
    <w:rsid w:val="00FF3A0C"/>
    <w:rsid w:val="00FF3A4A"/>
    <w:rsid w:val="00FF55A0"/>
    <w:rsid w:val="00FF59A2"/>
    <w:rsid w:val="00FF6BDE"/>
    <w:rsid w:val="00FF7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0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F44FD"/>
    <w:pPr>
      <w:widowControl w:val="0"/>
      <w:autoSpaceDE w:val="0"/>
      <w:autoSpaceDN w:val="0"/>
      <w:adjustRightInd w:val="0"/>
      <w:spacing w:before="120" w:after="120" w:line="276" w:lineRule="auto"/>
      <w:jc w:val="both"/>
    </w:pPr>
    <w:rPr>
      <w:rFonts w:ascii="EYInterstate Light" w:hAnsi="EYInterstate Light"/>
      <w:sz w:val="22"/>
    </w:rPr>
  </w:style>
  <w:style w:type="paragraph" w:styleId="Nagwek1">
    <w:name w:val="heading 1"/>
    <w:basedOn w:val="Normalny"/>
    <w:next w:val="Normalny"/>
    <w:link w:val="Nagwek1Znak"/>
    <w:uiPriority w:val="9"/>
    <w:qFormat/>
    <w:rsid w:val="00664943"/>
    <w:pPr>
      <w:keepNext/>
      <w:numPr>
        <w:numId w:val="4"/>
      </w:numPr>
      <w:tabs>
        <w:tab w:val="left" w:pos="720"/>
      </w:tabs>
      <w:spacing w:after="240"/>
      <w:outlineLvl w:val="0"/>
    </w:pPr>
    <w:rPr>
      <w:b/>
      <w:bCs/>
      <w:sz w:val="28"/>
      <w:szCs w:val="24"/>
    </w:rPr>
  </w:style>
  <w:style w:type="paragraph" w:styleId="Nagwek2">
    <w:name w:val="heading 2"/>
    <w:basedOn w:val="Normalny"/>
    <w:next w:val="Normalny"/>
    <w:qFormat/>
    <w:rsid w:val="00664943"/>
    <w:pPr>
      <w:keepNext/>
      <w:numPr>
        <w:ilvl w:val="1"/>
        <w:numId w:val="4"/>
      </w:numPr>
      <w:outlineLvl w:val="1"/>
    </w:pPr>
    <w:rPr>
      <w:rFonts w:cs="Arial"/>
      <w:b/>
      <w:bCs/>
      <w:iCs/>
    </w:rPr>
  </w:style>
  <w:style w:type="paragraph" w:styleId="Nagwek3">
    <w:name w:val="heading 3"/>
    <w:basedOn w:val="Normalny"/>
    <w:next w:val="Normalny"/>
    <w:qFormat/>
    <w:rsid w:val="00664943"/>
    <w:pPr>
      <w:keepNext/>
      <w:numPr>
        <w:ilvl w:val="2"/>
        <w:numId w:val="4"/>
      </w:numPr>
      <w:outlineLvl w:val="2"/>
    </w:pPr>
    <w:rPr>
      <w:rFonts w:cs="Arial"/>
      <w:b/>
      <w:bCs/>
    </w:rPr>
  </w:style>
  <w:style w:type="paragraph" w:styleId="Nagwek4">
    <w:name w:val="heading 4"/>
    <w:basedOn w:val="Nagwek1"/>
    <w:next w:val="Normalny"/>
    <w:qFormat/>
    <w:rsid w:val="00FA23EC"/>
    <w:pPr>
      <w:numPr>
        <w:ilvl w:val="3"/>
        <w:numId w:val="1"/>
      </w:numPr>
      <w:spacing w:line="240" w:lineRule="exact"/>
      <w:outlineLvl w:val="3"/>
    </w:pPr>
    <w:rPr>
      <w:color w:val="000000"/>
      <w:sz w:val="20"/>
    </w:rPr>
  </w:style>
  <w:style w:type="paragraph" w:styleId="Nagwek5">
    <w:name w:val="heading 5"/>
    <w:basedOn w:val="Nagwek1"/>
    <w:next w:val="Normalny"/>
    <w:qFormat/>
    <w:rsid w:val="00FA23EC"/>
    <w:pPr>
      <w:numPr>
        <w:numId w:val="0"/>
      </w:numPr>
      <w:outlineLvl w:val="4"/>
    </w:pPr>
  </w:style>
  <w:style w:type="paragraph" w:styleId="Nagwek6">
    <w:name w:val="heading 6"/>
    <w:basedOn w:val="Nagwek3"/>
    <w:next w:val="Normalny"/>
    <w:qFormat/>
    <w:rsid w:val="00FA23EC"/>
    <w:pPr>
      <w:numPr>
        <w:ilvl w:val="0"/>
        <w:numId w:val="0"/>
      </w:numPr>
      <w:outlineLvl w:val="5"/>
    </w:pPr>
    <w:rPr>
      <w:i/>
    </w:rPr>
  </w:style>
  <w:style w:type="paragraph" w:styleId="Nagwek7">
    <w:name w:val="heading 7"/>
    <w:basedOn w:val="Normalny"/>
    <w:next w:val="Normalny"/>
    <w:qFormat/>
    <w:rsid w:val="00FA23EC"/>
    <w:pPr>
      <w:spacing w:after="240"/>
      <w:outlineLvl w:val="6"/>
    </w:pPr>
    <w:rPr>
      <w:b/>
      <w:i/>
    </w:rPr>
  </w:style>
  <w:style w:type="paragraph" w:styleId="Nagwek8">
    <w:name w:val="heading 8"/>
    <w:basedOn w:val="Normalny"/>
    <w:next w:val="Normalny"/>
    <w:qFormat/>
    <w:rsid w:val="00FA23EC"/>
    <w:pPr>
      <w:spacing w:after="240"/>
      <w:outlineLvl w:val="7"/>
    </w:pPr>
    <w:rPr>
      <w:b/>
    </w:rPr>
  </w:style>
  <w:style w:type="paragraph" w:styleId="Nagwek9">
    <w:name w:val="heading 9"/>
    <w:basedOn w:val="Nagwek8"/>
    <w:next w:val="Normalny"/>
    <w:qFormat/>
    <w:rsid w:val="00FA23EC"/>
    <w:pPr>
      <w:pageBreakBefore/>
      <w:outlineLvl w:val="8"/>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FA23EC"/>
  </w:style>
  <w:style w:type="paragraph" w:styleId="Podpise-mail">
    <w:name w:val="E-mail Signature"/>
    <w:basedOn w:val="Normalny"/>
    <w:rsid w:val="00FA23EC"/>
  </w:style>
  <w:style w:type="paragraph" w:customStyle="1" w:styleId="EYNormal">
    <w:name w:val="EY Normal"/>
    <w:link w:val="EYNormalChar"/>
    <w:rsid w:val="00B60918"/>
    <w:rPr>
      <w:rFonts w:ascii="EYInterstate Light" w:hAnsi="EYInterstate Light"/>
      <w:kern w:val="12"/>
      <w:szCs w:val="24"/>
    </w:rPr>
  </w:style>
  <w:style w:type="paragraph" w:customStyle="1" w:styleId="EYAppendiceBodytext">
    <w:name w:val="EY Appendice Body text"/>
    <w:basedOn w:val="EYNormal"/>
    <w:rsid w:val="00FA23EC"/>
    <w:pPr>
      <w:spacing w:after="240"/>
    </w:pPr>
  </w:style>
  <w:style w:type="paragraph" w:customStyle="1" w:styleId="EYAppendix">
    <w:name w:val="EY Appendix"/>
    <w:basedOn w:val="EYNormal"/>
    <w:next w:val="Normalny"/>
    <w:qFormat/>
    <w:rsid w:val="00ED51F7"/>
    <w:pPr>
      <w:numPr>
        <w:numId w:val="2"/>
      </w:numPr>
      <w:spacing w:after="360"/>
      <w:outlineLvl w:val="0"/>
    </w:pPr>
    <w:rPr>
      <w:rFonts w:ascii="EYInterstate Regular" w:hAnsi="EYInterstate Regular"/>
      <w:color w:val="808080"/>
      <w:sz w:val="32"/>
    </w:rPr>
  </w:style>
  <w:style w:type="paragraph" w:customStyle="1" w:styleId="EYAppendixHeading2">
    <w:name w:val="EY Appendix Heading 2"/>
    <w:basedOn w:val="EYNormal"/>
    <w:next w:val="EYAppendiceBodytext"/>
    <w:rsid w:val="00FA23EC"/>
    <w:pPr>
      <w:spacing w:after="120"/>
    </w:pPr>
    <w:rPr>
      <w:b/>
      <w:sz w:val="28"/>
    </w:rPr>
  </w:style>
  <w:style w:type="paragraph" w:customStyle="1" w:styleId="EYAppendixHeading3">
    <w:name w:val="EY Appendix Heading 3"/>
    <w:basedOn w:val="EYAppendixHeading2"/>
    <w:next w:val="EYAppendiceBodytext"/>
    <w:rsid w:val="00FA23EC"/>
    <w:rPr>
      <w:sz w:val="24"/>
    </w:rPr>
  </w:style>
  <w:style w:type="paragraph" w:customStyle="1" w:styleId="EYBodytextwithparaspace">
    <w:name w:val="EY Body text (with para space)"/>
    <w:basedOn w:val="EYNormal"/>
    <w:link w:val="EYBodytextwithparaspaceChar"/>
    <w:rsid w:val="00504137"/>
    <w:pPr>
      <w:numPr>
        <w:ilvl w:val="4"/>
        <w:numId w:val="9"/>
      </w:numPr>
      <w:spacing w:after="240"/>
    </w:pPr>
  </w:style>
  <w:style w:type="character" w:customStyle="1" w:styleId="EYBodytextwithoutparaspaceCharChar">
    <w:name w:val="EY Body text (without para space) Char Char"/>
    <w:basedOn w:val="Domylnaczcionkaakapitu"/>
    <w:link w:val="EYBodytextwithoutparaspace"/>
    <w:rsid w:val="00FA23EC"/>
    <w:rPr>
      <w:rFonts w:ascii="EYInterstate Light" w:hAnsi="EYInterstate Light"/>
      <w:kern w:val="12"/>
      <w:szCs w:val="24"/>
    </w:rPr>
  </w:style>
  <w:style w:type="character" w:customStyle="1" w:styleId="EYBodytextwithparaspaceChar">
    <w:name w:val="EY Body text (with para space) Char"/>
    <w:basedOn w:val="EYBodytextwithoutparaspaceCharChar"/>
    <w:link w:val="EYBodytextwithparaspace"/>
    <w:rsid w:val="00FA23EC"/>
    <w:rPr>
      <w:rFonts w:ascii="EYInterstate Light" w:hAnsi="EYInterstate Light"/>
      <w:kern w:val="12"/>
      <w:szCs w:val="24"/>
    </w:rPr>
  </w:style>
  <w:style w:type="paragraph" w:customStyle="1" w:styleId="EYBodytextwithoutparaspace">
    <w:name w:val="EY Body text (without para space)"/>
    <w:basedOn w:val="EYNormal"/>
    <w:link w:val="EYBodytextwithoutparaspaceCharChar"/>
    <w:rsid w:val="00504137"/>
  </w:style>
  <w:style w:type="paragraph" w:customStyle="1" w:styleId="EYBoldsubjectheading">
    <w:name w:val="EY Bold subject heading"/>
    <w:basedOn w:val="EYNormal"/>
    <w:next w:val="EYBodytextwithparaspace"/>
    <w:link w:val="EYBoldsubjectheadingChar"/>
    <w:rsid w:val="00FA23EC"/>
    <w:pPr>
      <w:spacing w:after="480" w:line="260" w:lineRule="exact"/>
    </w:pPr>
    <w:rPr>
      <w:b/>
      <w:sz w:val="26"/>
    </w:rPr>
  </w:style>
  <w:style w:type="character" w:customStyle="1" w:styleId="EYBoldsubjectheadingChar">
    <w:name w:val="EY Bold subject heading Char"/>
    <w:basedOn w:val="Domylnaczcionkaakapitu"/>
    <w:link w:val="EYBoldsubjectheading"/>
    <w:rsid w:val="00FA23EC"/>
    <w:rPr>
      <w:rFonts w:ascii="EYInterstate Light" w:hAnsi="EYInterstate Light"/>
      <w:b/>
      <w:kern w:val="12"/>
      <w:sz w:val="26"/>
      <w:szCs w:val="24"/>
      <w:lang w:val="en-GB" w:eastAsia="en-US" w:bidi="ar-SA"/>
    </w:rPr>
  </w:style>
  <w:style w:type="paragraph" w:customStyle="1" w:styleId="EYBulletedList1">
    <w:name w:val="EY Bulleted List 1"/>
    <w:qFormat/>
    <w:rsid w:val="00501063"/>
    <w:pPr>
      <w:numPr>
        <w:numId w:val="10"/>
      </w:numPr>
      <w:spacing w:before="120" w:after="120" w:line="276" w:lineRule="auto"/>
    </w:pPr>
    <w:rPr>
      <w:rFonts w:ascii="EYInterstate Light" w:hAnsi="EYInterstate Light"/>
      <w:kern w:val="12"/>
      <w:szCs w:val="24"/>
    </w:rPr>
  </w:style>
  <w:style w:type="paragraph" w:customStyle="1" w:styleId="EYBulletedList2">
    <w:name w:val="EY Bulleted List 2"/>
    <w:rsid w:val="00C664DF"/>
    <w:pPr>
      <w:numPr>
        <w:ilvl w:val="1"/>
        <w:numId w:val="10"/>
      </w:numPr>
    </w:pPr>
    <w:rPr>
      <w:rFonts w:ascii="EYInterstate Light" w:hAnsi="EYInterstate Light"/>
      <w:kern w:val="12"/>
      <w:szCs w:val="24"/>
    </w:rPr>
  </w:style>
  <w:style w:type="paragraph" w:customStyle="1" w:styleId="EYBulletedList3">
    <w:name w:val="EY Bulleted List 3"/>
    <w:rsid w:val="00C664DF"/>
    <w:pPr>
      <w:numPr>
        <w:ilvl w:val="2"/>
        <w:numId w:val="10"/>
      </w:numPr>
    </w:pPr>
    <w:rPr>
      <w:rFonts w:ascii="EYInterstate Light" w:hAnsi="EYInterstate Light"/>
      <w:kern w:val="12"/>
      <w:szCs w:val="24"/>
    </w:rPr>
  </w:style>
  <w:style w:type="paragraph" w:customStyle="1" w:styleId="EYBusinessaddress">
    <w:name w:val="EY Business address"/>
    <w:basedOn w:val="EYNormal"/>
    <w:rsid w:val="00FA23EC"/>
    <w:pPr>
      <w:spacing w:line="170" w:lineRule="atLeast"/>
    </w:pPr>
    <w:rPr>
      <w:color w:val="666666"/>
      <w:sz w:val="15"/>
    </w:rPr>
  </w:style>
  <w:style w:type="paragraph" w:customStyle="1" w:styleId="EYBusinessaddressbold">
    <w:name w:val="EY Business address (bold)"/>
    <w:basedOn w:val="EYBusinessaddress"/>
    <w:next w:val="EYBusinessaddress"/>
    <w:rsid w:val="00FA23EC"/>
    <w:rPr>
      <w:b/>
    </w:rPr>
  </w:style>
  <w:style w:type="paragraph" w:customStyle="1" w:styleId="EYClosure">
    <w:name w:val="EY Closure"/>
    <w:basedOn w:val="EYBodytextwithoutparaspace"/>
    <w:next w:val="EYBodytextwithoutparaspace"/>
    <w:rsid w:val="00FA23EC"/>
    <w:pPr>
      <w:spacing w:after="1040" w:line="260" w:lineRule="exact"/>
    </w:pPr>
  </w:style>
  <w:style w:type="paragraph" w:customStyle="1" w:styleId="EYContents">
    <w:name w:val="EY Contents"/>
    <w:basedOn w:val="EYNormal"/>
    <w:next w:val="Normalny"/>
    <w:rsid w:val="00ED51F7"/>
    <w:pPr>
      <w:keepNext/>
      <w:spacing w:after="240"/>
      <w:outlineLvl w:val="0"/>
    </w:pPr>
    <w:rPr>
      <w:rFonts w:ascii="EYInterstate Regular" w:hAnsi="EYInterstate Regular"/>
      <w:color w:val="808080"/>
      <w:sz w:val="28"/>
    </w:rPr>
  </w:style>
  <w:style w:type="paragraph" w:customStyle="1" w:styleId="EYContentsContinued">
    <w:name w:val="EY Contents (Continued)"/>
    <w:basedOn w:val="EYContents"/>
    <w:rsid w:val="00ED51F7"/>
    <w:pPr>
      <w:outlineLvl w:val="9"/>
    </w:pPr>
    <w:rPr>
      <w:sz w:val="16"/>
    </w:rPr>
  </w:style>
  <w:style w:type="paragraph" w:customStyle="1" w:styleId="EYCoverTitle">
    <w:name w:val="EY Cover Title"/>
    <w:rsid w:val="00ED51F7"/>
    <w:pPr>
      <w:tabs>
        <w:tab w:val="right" w:pos="6750"/>
      </w:tabs>
      <w:spacing w:line="560" w:lineRule="exact"/>
    </w:pPr>
    <w:rPr>
      <w:rFonts w:ascii="EYInterstate Regular" w:hAnsi="EYInterstate Regular"/>
      <w:color w:val="808080"/>
      <w:sz w:val="48"/>
      <w:szCs w:val="48"/>
    </w:rPr>
  </w:style>
  <w:style w:type="paragraph" w:customStyle="1" w:styleId="EYSub-title">
    <w:name w:val="EY Sub-title"/>
    <w:basedOn w:val="EYCoverTitle"/>
    <w:rsid w:val="00FA23EC"/>
    <w:pPr>
      <w:spacing w:after="360"/>
    </w:pPr>
    <w:rPr>
      <w:b/>
      <w:bCs/>
      <w:color w:val="auto"/>
      <w:kern w:val="28"/>
      <w:sz w:val="22"/>
      <w:szCs w:val="32"/>
    </w:rPr>
  </w:style>
  <w:style w:type="paragraph" w:customStyle="1" w:styleId="EYDate">
    <w:name w:val="EY Date"/>
    <w:basedOn w:val="EYSub-title"/>
    <w:rsid w:val="00FA23EC"/>
    <w:pPr>
      <w:suppressAutoHyphens/>
    </w:pPr>
    <w:rPr>
      <w:sz w:val="20"/>
    </w:rPr>
  </w:style>
  <w:style w:type="paragraph" w:customStyle="1" w:styleId="EYFooterinfo">
    <w:name w:val="EY Footer info"/>
    <w:basedOn w:val="EYNormal"/>
    <w:rsid w:val="00ED51F7"/>
    <w:pPr>
      <w:suppressAutoHyphens/>
    </w:pPr>
    <w:rPr>
      <w:color w:val="808080"/>
      <w:sz w:val="12"/>
    </w:rPr>
  </w:style>
  <w:style w:type="paragraph" w:customStyle="1" w:styleId="EYHeading1">
    <w:name w:val="EY Heading 1"/>
    <w:basedOn w:val="EYNormal"/>
    <w:next w:val="Normalny"/>
    <w:qFormat/>
    <w:rsid w:val="00ED51F7"/>
    <w:pPr>
      <w:pageBreakBefore/>
      <w:numPr>
        <w:numId w:val="3"/>
      </w:numPr>
      <w:spacing w:after="360"/>
    </w:pPr>
    <w:rPr>
      <w:rFonts w:ascii="EYInterstate Regular" w:hAnsi="EYInterstate Regular"/>
      <w:color w:val="808080"/>
      <w:sz w:val="32"/>
    </w:rPr>
  </w:style>
  <w:style w:type="paragraph" w:customStyle="1" w:styleId="EYHeading2">
    <w:name w:val="EY Heading 2"/>
    <w:basedOn w:val="EYHeading1"/>
    <w:next w:val="Normalny"/>
    <w:qFormat/>
    <w:rsid w:val="00664943"/>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ny"/>
    <w:qFormat/>
    <w:rsid w:val="00664943"/>
    <w:pPr>
      <w:keepNext/>
      <w:pageBreakBefore w:val="0"/>
      <w:numPr>
        <w:ilvl w:val="2"/>
      </w:numPr>
      <w:spacing w:before="120" w:after="120"/>
      <w:outlineLvl w:val="2"/>
    </w:pPr>
    <w:rPr>
      <w:color w:val="auto"/>
      <w:sz w:val="26"/>
    </w:rPr>
  </w:style>
  <w:style w:type="paragraph" w:customStyle="1" w:styleId="EYHeading4">
    <w:name w:val="EY Heading 4"/>
    <w:basedOn w:val="EYHeading3"/>
    <w:qFormat/>
    <w:rsid w:val="00664943"/>
    <w:pPr>
      <w:numPr>
        <w:ilvl w:val="3"/>
      </w:numPr>
      <w:outlineLvl w:val="3"/>
    </w:pPr>
    <w:rPr>
      <w:sz w:val="22"/>
    </w:rPr>
  </w:style>
  <w:style w:type="paragraph" w:customStyle="1" w:styleId="EYIndent1">
    <w:name w:val="EY Indent 1"/>
    <w:basedOn w:val="EYNormal"/>
    <w:rsid w:val="00664943"/>
    <w:pPr>
      <w:spacing w:after="240"/>
      <w:ind w:left="425"/>
    </w:pPr>
  </w:style>
  <w:style w:type="paragraph" w:customStyle="1" w:styleId="EYIndent2">
    <w:name w:val="EY Indent 2"/>
    <w:basedOn w:val="EYIndent1"/>
    <w:rsid w:val="00664943"/>
    <w:pPr>
      <w:ind w:left="851"/>
    </w:pPr>
  </w:style>
  <w:style w:type="paragraph" w:customStyle="1" w:styleId="EYIndent3">
    <w:name w:val="EY Indent 3"/>
    <w:basedOn w:val="EYIndent1"/>
    <w:rsid w:val="00FA23EC"/>
    <w:pPr>
      <w:ind w:left="1276"/>
    </w:pPr>
  </w:style>
  <w:style w:type="paragraph" w:customStyle="1" w:styleId="EYNumber">
    <w:name w:val="EY Number"/>
    <w:basedOn w:val="Normalny"/>
    <w:rsid w:val="00111B7C"/>
    <w:pPr>
      <w:widowControl/>
      <w:numPr>
        <w:numId w:val="6"/>
      </w:numPr>
      <w:autoSpaceDE/>
      <w:autoSpaceDN/>
      <w:adjustRightInd/>
      <w:spacing w:line="240" w:lineRule="auto"/>
    </w:pPr>
    <w:rPr>
      <w:kern w:val="12"/>
      <w:sz w:val="20"/>
      <w:szCs w:val="24"/>
    </w:rPr>
  </w:style>
  <w:style w:type="paragraph" w:customStyle="1" w:styleId="EYLetter">
    <w:name w:val="EY Letter"/>
    <w:basedOn w:val="EYNumber"/>
    <w:rsid w:val="00B60918"/>
    <w:pPr>
      <w:numPr>
        <w:ilvl w:val="1"/>
      </w:numPr>
    </w:pPr>
  </w:style>
  <w:style w:type="paragraph" w:customStyle="1" w:styleId="EYLetterText">
    <w:name w:val="EY Letter Text"/>
    <w:basedOn w:val="EYNormal"/>
    <w:rsid w:val="00FA23EC"/>
    <w:pPr>
      <w:suppressAutoHyphens/>
      <w:spacing w:after="240"/>
    </w:pPr>
  </w:style>
  <w:style w:type="character" w:customStyle="1" w:styleId="EYNormalChar">
    <w:name w:val="EY Normal Char"/>
    <w:basedOn w:val="Domylnaczcionkaakapitu"/>
    <w:link w:val="EYNormal"/>
    <w:rsid w:val="00664943"/>
    <w:rPr>
      <w:rFonts w:ascii="EYInterstate Light" w:hAnsi="EYInterstate Light"/>
      <w:kern w:val="12"/>
      <w:szCs w:val="24"/>
    </w:rPr>
  </w:style>
  <w:style w:type="paragraph" w:customStyle="1" w:styleId="EYPrivate">
    <w:name w:val="EY Private"/>
    <w:basedOn w:val="EYNormal"/>
    <w:rsid w:val="00FA23EC"/>
    <w:pPr>
      <w:suppressAutoHyphens/>
    </w:pPr>
    <w:rPr>
      <w:b/>
    </w:rPr>
  </w:style>
  <w:style w:type="paragraph" w:customStyle="1" w:styleId="EYRoman">
    <w:name w:val="EY Roman"/>
    <w:basedOn w:val="EYNumber"/>
    <w:rsid w:val="00B60918"/>
    <w:pPr>
      <w:numPr>
        <w:ilvl w:val="2"/>
      </w:numPr>
    </w:pPr>
  </w:style>
  <w:style w:type="paragraph" w:customStyle="1" w:styleId="EYSubheading">
    <w:name w:val="EY Subheading"/>
    <w:basedOn w:val="EYNormal"/>
    <w:next w:val="Tekstpodstawowy"/>
    <w:rsid w:val="00FA23EC"/>
    <w:pPr>
      <w:keepNext/>
      <w:spacing w:after="120"/>
    </w:pPr>
    <w:rPr>
      <w:b/>
    </w:rPr>
  </w:style>
  <w:style w:type="paragraph" w:customStyle="1" w:styleId="EYSecondarysubheading">
    <w:name w:val="EY Secondary subheading"/>
    <w:basedOn w:val="EYSubheading"/>
    <w:next w:val="Podpise-mail"/>
    <w:rsid w:val="00FA23EC"/>
    <w:rPr>
      <w:i/>
    </w:rPr>
  </w:style>
  <w:style w:type="paragraph" w:customStyle="1" w:styleId="EYSource">
    <w:name w:val="EY Source"/>
    <w:basedOn w:val="EYNormal"/>
    <w:next w:val="Normalny"/>
    <w:rsid w:val="00664943"/>
    <w:pPr>
      <w:keepNext/>
      <w:spacing w:before="60" w:after="60"/>
    </w:pPr>
    <w:rPr>
      <w:i/>
      <w:sz w:val="16"/>
    </w:rPr>
  </w:style>
  <w:style w:type="paragraph" w:customStyle="1" w:styleId="EYTableNormal">
    <w:name w:val="EY Table Normal"/>
    <w:basedOn w:val="EYNormal"/>
    <w:autoRedefine/>
    <w:rsid w:val="00664943"/>
    <w:rPr>
      <w:kern w:val="0"/>
      <w:sz w:val="16"/>
    </w:rPr>
  </w:style>
  <w:style w:type="paragraph" w:customStyle="1" w:styleId="EYTableText">
    <w:name w:val="EY Table Text"/>
    <w:basedOn w:val="EYTableNormal"/>
    <w:rsid w:val="00664943"/>
    <w:pPr>
      <w:spacing w:before="20" w:after="20"/>
    </w:pPr>
  </w:style>
  <w:style w:type="paragraph" w:customStyle="1" w:styleId="EYTablebullet1">
    <w:name w:val="EY Table bullet 1"/>
    <w:basedOn w:val="EYTableText"/>
    <w:rsid w:val="00B60918"/>
    <w:pPr>
      <w:numPr>
        <w:numId w:val="7"/>
      </w:numPr>
    </w:pPr>
  </w:style>
  <w:style w:type="paragraph" w:customStyle="1" w:styleId="EYTablebullet2">
    <w:name w:val="EY Table bullet 2"/>
    <w:basedOn w:val="EYTablebullet1"/>
    <w:rsid w:val="00B60918"/>
    <w:pPr>
      <w:numPr>
        <w:ilvl w:val="1"/>
      </w:numPr>
    </w:pPr>
  </w:style>
  <w:style w:type="paragraph" w:customStyle="1" w:styleId="EYTableHeading">
    <w:name w:val="EY Table Heading"/>
    <w:basedOn w:val="EYTableText"/>
    <w:rsid w:val="006577F7"/>
    <w:pPr>
      <w:spacing w:before="60" w:after="60"/>
    </w:pPr>
    <w:rPr>
      <w:rFonts w:ascii="EYInterstate Regular" w:hAnsi="EYInterstate Regular"/>
      <w:color w:val="808080"/>
    </w:rPr>
  </w:style>
  <w:style w:type="paragraph" w:customStyle="1" w:styleId="EYTabletextbold">
    <w:name w:val="EY Table text bold"/>
    <w:basedOn w:val="EYTableText"/>
    <w:next w:val="EYTableText"/>
    <w:rsid w:val="006577F7"/>
    <w:rPr>
      <w:rFonts w:ascii="EYInterstate Regular" w:hAnsi="EYInterstate Regular"/>
    </w:rPr>
  </w:style>
  <w:style w:type="paragraph" w:styleId="Stopka">
    <w:name w:val="footer"/>
    <w:aliases w:val="EY Footer"/>
    <w:basedOn w:val="Normalny"/>
    <w:link w:val="StopkaZnak"/>
    <w:uiPriority w:val="99"/>
    <w:rsid w:val="00664943"/>
    <w:pPr>
      <w:tabs>
        <w:tab w:val="center" w:pos="4320"/>
        <w:tab w:val="right" w:pos="8640"/>
      </w:tabs>
    </w:pPr>
  </w:style>
  <w:style w:type="paragraph" w:styleId="Nagwek">
    <w:name w:val="header"/>
    <w:aliases w:val="EY Header"/>
    <w:basedOn w:val="Normalny"/>
    <w:rsid w:val="00664943"/>
    <w:pPr>
      <w:tabs>
        <w:tab w:val="center" w:pos="4320"/>
        <w:tab w:val="right" w:pos="8640"/>
      </w:tabs>
    </w:pPr>
  </w:style>
  <w:style w:type="character" w:styleId="Hipercze">
    <w:name w:val="Hyperlink"/>
    <w:basedOn w:val="Domylnaczcionkaakapitu"/>
    <w:uiPriority w:val="99"/>
    <w:rsid w:val="00664943"/>
    <w:rPr>
      <w:color w:val="0000FF"/>
      <w:u w:val="single"/>
    </w:rPr>
  </w:style>
  <w:style w:type="character" w:styleId="Numerstrony">
    <w:name w:val="page number"/>
    <w:aliases w:val="EY Page Number"/>
    <w:basedOn w:val="Domylnaczcionkaakapitu"/>
    <w:rsid w:val="00664943"/>
  </w:style>
  <w:style w:type="paragraph" w:styleId="Spistreci1">
    <w:name w:val="toc 1"/>
    <w:basedOn w:val="EYNormal"/>
    <w:next w:val="Normalny"/>
    <w:uiPriority w:val="39"/>
    <w:rsid w:val="00CE0CD5"/>
    <w:pPr>
      <w:tabs>
        <w:tab w:val="left" w:pos="600"/>
        <w:tab w:val="right" w:leader="dot" w:pos="9000"/>
      </w:tabs>
      <w:snapToGrid w:val="0"/>
    </w:pPr>
    <w:rPr>
      <w:rFonts w:cs="Arial"/>
      <w:noProof/>
      <w:lang w:eastAsia="en-GB"/>
    </w:rPr>
  </w:style>
  <w:style w:type="paragraph" w:styleId="Spistreci2">
    <w:name w:val="toc 2"/>
    <w:basedOn w:val="EYNormal"/>
    <w:next w:val="Normalny"/>
    <w:uiPriority w:val="39"/>
    <w:rsid w:val="00CE0CD5"/>
    <w:pPr>
      <w:tabs>
        <w:tab w:val="left" w:pos="960"/>
        <w:tab w:val="right" w:leader="dot" w:pos="9000"/>
      </w:tabs>
      <w:snapToGrid w:val="0"/>
      <w:ind w:left="200"/>
    </w:pPr>
    <w:rPr>
      <w:rFonts w:cs="Arial"/>
      <w:noProof/>
      <w:lang w:eastAsia="en-GB"/>
    </w:rPr>
  </w:style>
  <w:style w:type="paragraph" w:styleId="Spistreci3">
    <w:name w:val="toc 3"/>
    <w:basedOn w:val="EYNormal"/>
    <w:next w:val="Normalny"/>
    <w:uiPriority w:val="39"/>
    <w:rsid w:val="00CE0CD5"/>
    <w:pPr>
      <w:tabs>
        <w:tab w:val="left" w:pos="1200"/>
        <w:tab w:val="right" w:leader="dot" w:pos="9000"/>
      </w:tabs>
      <w:snapToGrid w:val="0"/>
      <w:ind w:left="400"/>
    </w:pPr>
    <w:rPr>
      <w:rFonts w:cs="Arial"/>
      <w:noProof/>
      <w:lang w:eastAsia="en-GB"/>
    </w:rPr>
  </w:style>
  <w:style w:type="paragraph" w:styleId="Spistreci4">
    <w:name w:val="toc 4"/>
    <w:basedOn w:val="EYNormal"/>
    <w:next w:val="Normalny"/>
    <w:uiPriority w:val="39"/>
    <w:rsid w:val="00CE0CD5"/>
    <w:pPr>
      <w:tabs>
        <w:tab w:val="left" w:pos="1680"/>
        <w:tab w:val="right" w:leader="dot" w:pos="9000"/>
      </w:tabs>
      <w:snapToGrid w:val="0"/>
      <w:ind w:left="600"/>
    </w:pPr>
    <w:rPr>
      <w:rFonts w:cs="Arial"/>
      <w:noProof/>
      <w:lang w:eastAsia="en-GB"/>
    </w:rPr>
  </w:style>
  <w:style w:type="paragraph" w:styleId="Tekstdymka">
    <w:name w:val="Balloon Text"/>
    <w:basedOn w:val="Normalny"/>
    <w:semiHidden/>
    <w:rsid w:val="00664943"/>
    <w:rPr>
      <w:rFonts w:ascii="Tahoma" w:hAnsi="Tahoma" w:cs="Tahoma"/>
      <w:sz w:val="16"/>
      <w:szCs w:val="16"/>
    </w:rPr>
  </w:style>
  <w:style w:type="character" w:customStyle="1" w:styleId="bold">
    <w:name w:val="bold"/>
    <w:basedOn w:val="Domylnaczcionkaakapitu"/>
    <w:rsid w:val="00CB5A62"/>
    <w:rPr>
      <w:rFonts w:ascii="EYInterstate Light" w:hAnsi="EYInterstate Light"/>
      <w:b/>
      <w:bCs/>
      <w:sz w:val="24"/>
    </w:rPr>
  </w:style>
  <w:style w:type="character" w:styleId="Odwoanieprzypisukocowego">
    <w:name w:val="endnote reference"/>
    <w:basedOn w:val="Domylnaczcionkaakapitu"/>
    <w:semiHidden/>
    <w:rsid w:val="00664943"/>
    <w:rPr>
      <w:vertAlign w:val="superscript"/>
    </w:rPr>
  </w:style>
  <w:style w:type="paragraph" w:styleId="Tekstprzypisukocowego">
    <w:name w:val="endnote text"/>
    <w:basedOn w:val="Normalny"/>
    <w:semiHidden/>
    <w:rsid w:val="00664943"/>
  </w:style>
  <w:style w:type="paragraph" w:customStyle="1" w:styleId="EYCoverDate">
    <w:name w:val="EY Cover Date"/>
    <w:basedOn w:val="Normalny"/>
    <w:rsid w:val="00664943"/>
    <w:pPr>
      <w:widowControl/>
      <w:autoSpaceDE/>
      <w:autoSpaceDN/>
      <w:adjustRightInd/>
      <w:spacing w:after="240" w:line="470" w:lineRule="exact"/>
      <w:jc w:val="right"/>
    </w:pPr>
    <w:rPr>
      <w:rFonts w:ascii="EYInterstate" w:hAnsi="EYInterstate"/>
      <w:color w:val="646464"/>
      <w:szCs w:val="24"/>
    </w:rPr>
  </w:style>
  <w:style w:type="paragraph" w:customStyle="1" w:styleId="EYCoverSubTitle">
    <w:name w:val="EY Cover SubTitle"/>
    <w:basedOn w:val="EYCoverTitle"/>
    <w:autoRedefine/>
    <w:rsid w:val="007C3DC6"/>
    <w:pPr>
      <w:tabs>
        <w:tab w:val="clear" w:pos="6750"/>
      </w:tabs>
      <w:spacing w:line="420" w:lineRule="exact"/>
    </w:pPr>
    <w:rPr>
      <w:sz w:val="28"/>
    </w:rPr>
  </w:style>
  <w:style w:type="character" w:styleId="Odwoanieprzypisudolnego">
    <w:name w:val="footnote reference"/>
    <w:aliases w:val="fr"/>
    <w:basedOn w:val="Domylnaczcionkaakapitu"/>
    <w:semiHidden/>
    <w:rsid w:val="00664943"/>
    <w:rPr>
      <w:rFonts w:ascii="EYInterstate Light" w:hAnsi="EYInterstate Light"/>
      <w:position w:val="6"/>
      <w:sz w:val="24"/>
      <w:szCs w:val="20"/>
      <w:vertAlign w:val="superscript"/>
    </w:rPr>
  </w:style>
  <w:style w:type="character" w:customStyle="1" w:styleId="TekstprzypisudolnegoZnak">
    <w:name w:val="Tekst przypisu dolnego Znak"/>
    <w:aliases w:val="fn Znak,FT Znak,ft Znak,SD Footnote Text Znak,Footnote Text AG Znak"/>
    <w:basedOn w:val="Domylnaczcionkaakapitu"/>
    <w:link w:val="Tekstprzypisudolnego"/>
    <w:rsid w:val="00664943"/>
    <w:rPr>
      <w:rFonts w:ascii="EYInterstate Light" w:hAnsi="EYInterstate Light"/>
      <w:sz w:val="18"/>
      <w:lang w:val="en-US" w:eastAsia="en-US" w:bidi="ar-SA"/>
    </w:rPr>
  </w:style>
  <w:style w:type="paragraph" w:styleId="Tekstprzypisudolnego">
    <w:name w:val="footnote text"/>
    <w:aliases w:val="fn,FT,ft,SD Footnote Text,Footnote Text AG"/>
    <w:basedOn w:val="Normalny"/>
    <w:link w:val="TekstprzypisudolnegoZnak"/>
    <w:semiHidden/>
    <w:rsid w:val="00664943"/>
    <w:pPr>
      <w:keepNext/>
      <w:keepLines/>
      <w:spacing w:line="240" w:lineRule="auto"/>
    </w:pPr>
    <w:rPr>
      <w:sz w:val="18"/>
    </w:rPr>
  </w:style>
  <w:style w:type="paragraph" w:customStyle="1" w:styleId="Italics">
    <w:name w:val="Italics"/>
    <w:link w:val="ItalicsCharChar"/>
    <w:rsid w:val="00CB5A62"/>
    <w:pPr>
      <w:keepNext/>
      <w:overflowPunct w:val="0"/>
      <w:textAlignment w:val="baseline"/>
    </w:pPr>
    <w:rPr>
      <w:rFonts w:ascii="EYInterstate Light" w:hAnsi="EYInterstate Light"/>
      <w:bCs/>
      <w:i/>
      <w:iCs/>
      <w:sz w:val="24"/>
    </w:rPr>
  </w:style>
  <w:style w:type="character" w:customStyle="1" w:styleId="ItalicsCharChar">
    <w:name w:val="Italics Char Char"/>
    <w:basedOn w:val="Domylnaczcionkaakapitu"/>
    <w:link w:val="Italics"/>
    <w:rsid w:val="00CB5A62"/>
    <w:rPr>
      <w:rFonts w:ascii="EYInterstate Light" w:hAnsi="EYInterstate Light"/>
      <w:bCs/>
      <w:i/>
      <w:iCs/>
      <w:sz w:val="24"/>
    </w:rPr>
  </w:style>
  <w:style w:type="paragraph" w:customStyle="1" w:styleId="Normalleftindent">
    <w:name w:val="Normal + left indent"/>
    <w:basedOn w:val="Normalny"/>
    <w:rsid w:val="00664943"/>
    <w:pPr>
      <w:widowControl/>
      <w:spacing w:line="240" w:lineRule="auto"/>
      <w:ind w:left="720"/>
    </w:pPr>
    <w:rPr>
      <w:lang w:eastAsia="ja-JP"/>
    </w:rPr>
  </w:style>
  <w:style w:type="paragraph" w:customStyle="1" w:styleId="NumberedList">
    <w:name w:val="Numbered List"/>
    <w:rsid w:val="00CB5A62"/>
    <w:pPr>
      <w:numPr>
        <w:numId w:val="8"/>
      </w:numPr>
      <w:spacing w:after="120"/>
    </w:pPr>
    <w:rPr>
      <w:rFonts w:ascii="EYInterstate Light" w:hAnsi="EYInterstate Light"/>
      <w:sz w:val="24"/>
    </w:rPr>
  </w:style>
  <w:style w:type="paragraph" w:customStyle="1" w:styleId="StyleBoldItalics">
    <w:name w:val="Style Bold + Italics"/>
    <w:basedOn w:val="Normalny"/>
    <w:rsid w:val="00664943"/>
    <w:pPr>
      <w:widowControl/>
    </w:pPr>
    <w:rPr>
      <w:b/>
      <w:i/>
    </w:rPr>
  </w:style>
  <w:style w:type="paragraph" w:customStyle="1" w:styleId="StyleBoldCentered">
    <w:name w:val="Style Bold Centered"/>
    <w:basedOn w:val="Normalny"/>
    <w:rsid w:val="00664943"/>
    <w:pPr>
      <w:autoSpaceDE/>
      <w:autoSpaceDN/>
      <w:adjustRightInd/>
      <w:jc w:val="center"/>
    </w:pPr>
    <w:rPr>
      <w:b/>
      <w:bCs/>
      <w:sz w:val="28"/>
    </w:rPr>
  </w:style>
  <w:style w:type="paragraph" w:customStyle="1" w:styleId="StyleEYInterstateBoldAfter18pt">
    <w:name w:val="Style EYInterstate Bold After:  18 pt"/>
    <w:basedOn w:val="Normalny"/>
    <w:rsid w:val="00664943"/>
    <w:pPr>
      <w:spacing w:after="240"/>
    </w:pPr>
    <w:rPr>
      <w:rFonts w:ascii="EYInterstate" w:hAnsi="EYInterstate"/>
      <w:b/>
      <w:bCs/>
      <w:sz w:val="28"/>
    </w:rPr>
  </w:style>
  <w:style w:type="character" w:customStyle="1" w:styleId="StyleFootnoteReferencefrNotRaisedbyLoweredby">
    <w:name w:val="Style Footnote Referencefr + Not Raised by / Lowered by"/>
    <w:basedOn w:val="Odwoanieprzypisudolnego"/>
    <w:rsid w:val="00664943"/>
    <w:rPr>
      <w:rFonts w:ascii="EYInterstate" w:hAnsi="EYInterstate"/>
      <w:position w:val="0"/>
      <w:sz w:val="24"/>
      <w:szCs w:val="20"/>
      <w:vertAlign w:val="superscript"/>
    </w:rPr>
  </w:style>
  <w:style w:type="numbering" w:customStyle="1" w:styleId="StyleNumbered">
    <w:name w:val="Style Numbered"/>
    <w:basedOn w:val="Bezlisty"/>
    <w:rsid w:val="00664943"/>
    <w:pPr>
      <w:numPr>
        <w:numId w:val="5"/>
      </w:numPr>
    </w:pPr>
  </w:style>
  <w:style w:type="paragraph" w:customStyle="1" w:styleId="subheadunderlined">
    <w:name w:val="subhead underlined"/>
    <w:rsid w:val="00664943"/>
    <w:pPr>
      <w:keepNext/>
    </w:pPr>
    <w:rPr>
      <w:rFonts w:ascii="EYInterstate Light" w:hAnsi="EYInterstate Light"/>
      <w:sz w:val="24"/>
      <w:u w:val="single"/>
    </w:rPr>
  </w:style>
  <w:style w:type="paragraph" w:customStyle="1" w:styleId="tableheader">
    <w:name w:val="table header"/>
    <w:rsid w:val="00664943"/>
    <w:pPr>
      <w:jc w:val="center"/>
    </w:pPr>
    <w:rPr>
      <w:rFonts w:ascii="EYInterstate Light" w:hAnsi="EYInterstate Light"/>
      <w:b/>
      <w:bCs/>
    </w:rPr>
  </w:style>
  <w:style w:type="paragraph" w:customStyle="1" w:styleId="tabletext-left">
    <w:name w:val="table text - left"/>
    <w:rsid w:val="00664943"/>
    <w:pPr>
      <w:ind w:left="365" w:hanging="365"/>
    </w:pPr>
    <w:rPr>
      <w:rFonts w:ascii="EYInterstate Light" w:hAnsi="EYInterstate Light"/>
      <w:sz w:val="22"/>
    </w:rPr>
  </w:style>
  <w:style w:type="paragraph" w:customStyle="1" w:styleId="tabletextcentered">
    <w:name w:val="table text centered"/>
    <w:rsid w:val="00664943"/>
    <w:pPr>
      <w:jc w:val="center"/>
    </w:pPr>
    <w:rPr>
      <w:rFonts w:ascii="EYInterstate Light" w:hAnsi="EYInterstate Light"/>
    </w:rPr>
  </w:style>
  <w:style w:type="paragraph" w:customStyle="1" w:styleId="TOCtitle">
    <w:name w:val="TOC title"/>
    <w:rsid w:val="00664943"/>
    <w:pPr>
      <w:ind w:left="720" w:hanging="360"/>
      <w:jc w:val="center"/>
    </w:pPr>
    <w:rPr>
      <w:rFonts w:ascii="EYInterstate" w:hAnsi="EYInterstate"/>
      <w:bCs/>
      <w:sz w:val="28"/>
    </w:rPr>
  </w:style>
  <w:style w:type="paragraph" w:customStyle="1" w:styleId="EYTableHeadingWhite">
    <w:name w:val="EY Table Heading (White)"/>
    <w:basedOn w:val="EYTableHeading"/>
    <w:rsid w:val="008128CE"/>
    <w:rPr>
      <w:bCs/>
      <w:color w:val="FFFFFF"/>
    </w:rPr>
  </w:style>
  <w:style w:type="paragraph" w:customStyle="1" w:styleId="CopyheadlineCover">
    <w:name w:val="Copy headline (Cover)"/>
    <w:basedOn w:val="Normalny"/>
    <w:uiPriority w:val="99"/>
    <w:rsid w:val="00173BC9"/>
    <w:pPr>
      <w:suppressAutoHyphens/>
      <w:spacing w:line="210" w:lineRule="atLeast"/>
      <w:textAlignment w:val="top"/>
    </w:pPr>
    <w:rPr>
      <w:rFonts w:ascii="EYInterstate-Regular" w:eastAsiaTheme="minorEastAsia" w:hAnsi="EYInterstate-Regular" w:cs="EYInterstate-Regular"/>
      <w:color w:val="000000"/>
      <w:spacing w:val="-3"/>
      <w:sz w:val="16"/>
      <w:szCs w:val="16"/>
      <w:lang w:val="en-GB"/>
    </w:rPr>
  </w:style>
  <w:style w:type="paragraph" w:customStyle="1" w:styleId="CopyCover">
    <w:name w:val="Copy (Cover)"/>
    <w:basedOn w:val="Normalny"/>
    <w:uiPriority w:val="99"/>
    <w:rsid w:val="004A65B2"/>
    <w:pPr>
      <w:suppressAutoHyphens/>
      <w:spacing w:after="105" w:line="210" w:lineRule="atLeast"/>
      <w:textAlignment w:val="top"/>
    </w:pPr>
    <w:rPr>
      <w:rFonts w:ascii="EYInterstate Regular" w:eastAsiaTheme="minorEastAsia" w:hAnsi="EYInterstate Regular" w:cs="EYInterstate-Light"/>
      <w:color w:val="000000"/>
      <w:spacing w:val="-3"/>
      <w:sz w:val="16"/>
      <w:szCs w:val="16"/>
      <w:lang w:val="en-GB"/>
    </w:rPr>
  </w:style>
  <w:style w:type="paragraph" w:customStyle="1" w:styleId="WebsiteCover">
    <w:name w:val="Website (Cover)"/>
    <w:basedOn w:val="Normalny"/>
    <w:uiPriority w:val="99"/>
    <w:rsid w:val="00173BC9"/>
    <w:pPr>
      <w:suppressAutoHyphens/>
      <w:spacing w:before="40" w:after="201" w:line="260" w:lineRule="atLeast"/>
      <w:textAlignment w:val="top"/>
    </w:pPr>
    <w:rPr>
      <w:rFonts w:ascii="EYInterstate-Regular" w:eastAsiaTheme="minorEastAsia" w:hAnsi="EYInterstate-Regular" w:cs="EYInterstate-Regular"/>
      <w:color w:val="000000"/>
      <w:spacing w:val="-4"/>
      <w:sz w:val="20"/>
      <w:lang w:val="en-GB"/>
    </w:rPr>
  </w:style>
  <w:style w:type="paragraph" w:customStyle="1" w:styleId="CopyrightCover">
    <w:name w:val="Copyright (Cover)"/>
    <w:basedOn w:val="Normalny"/>
    <w:uiPriority w:val="99"/>
    <w:rsid w:val="004A65B2"/>
    <w:pPr>
      <w:suppressAutoHyphens/>
      <w:spacing w:after="204" w:line="210" w:lineRule="atLeast"/>
      <w:textAlignment w:val="baseline"/>
    </w:pPr>
    <w:rPr>
      <w:rFonts w:ascii="EYInterstate Regular" w:eastAsiaTheme="minorEastAsia" w:hAnsi="EYInterstate Regular" w:cs="EYInterstate-Light"/>
      <w:color w:val="000000"/>
      <w:spacing w:val="-3"/>
      <w:sz w:val="16"/>
      <w:szCs w:val="16"/>
      <w:lang w:val="en-GB"/>
    </w:rPr>
  </w:style>
  <w:style w:type="paragraph" w:customStyle="1" w:styleId="ScoreretrievalfileNoCover">
    <w:name w:val="Score retrieval file No (Cover)"/>
    <w:basedOn w:val="Normalny"/>
    <w:uiPriority w:val="99"/>
    <w:rsid w:val="004A65B2"/>
    <w:pPr>
      <w:suppressAutoHyphens/>
      <w:spacing w:after="224" w:line="210" w:lineRule="atLeast"/>
      <w:textAlignment w:val="baseline"/>
    </w:pPr>
    <w:rPr>
      <w:rFonts w:ascii="EYInterstate Regular" w:eastAsiaTheme="minorEastAsia" w:hAnsi="EYInterstate Regular" w:cs="EYInterstate-Light"/>
      <w:color w:val="000000"/>
      <w:spacing w:val="-3"/>
      <w:sz w:val="16"/>
      <w:szCs w:val="16"/>
      <w:lang w:val="en-GB"/>
    </w:rPr>
  </w:style>
  <w:style w:type="paragraph" w:customStyle="1" w:styleId="LegalcopyCover">
    <w:name w:val="Legal copy (Cover)"/>
    <w:basedOn w:val="Normalny"/>
    <w:uiPriority w:val="99"/>
    <w:rsid w:val="004A65B2"/>
    <w:pPr>
      <w:suppressAutoHyphens/>
      <w:spacing w:after="80" w:line="160" w:lineRule="atLeast"/>
      <w:textAlignment w:val="baseline"/>
    </w:pPr>
    <w:rPr>
      <w:rFonts w:ascii="EYInterstate Regular" w:eastAsiaTheme="minorEastAsia" w:hAnsi="EYInterstate Regular" w:cs="EYInterstate-Light"/>
      <w:color w:val="000000"/>
      <w:spacing w:val="-2"/>
      <w:sz w:val="12"/>
      <w:szCs w:val="12"/>
      <w:lang w:val="en-GB"/>
    </w:rPr>
  </w:style>
  <w:style w:type="character" w:customStyle="1" w:styleId="BoilerplatecopyItalic">
    <w:name w:val="Boilerplate copy Italic"/>
    <w:uiPriority w:val="99"/>
    <w:rsid w:val="00173BC9"/>
    <w:rPr>
      <w:rFonts w:ascii="EYInterstate-LightItalic" w:hAnsi="EYInterstate-LightItalic" w:cs="EYInterstate-LightItalic"/>
      <w:i/>
      <w:iCs/>
      <w:color w:val="000000"/>
      <w:spacing w:val="-3"/>
      <w:w w:val="100"/>
      <w:position w:val="0"/>
      <w:sz w:val="16"/>
      <w:szCs w:val="16"/>
      <w:vertAlign w:val="baseline"/>
      <w:lang w:val="en-GB"/>
    </w:rPr>
  </w:style>
  <w:style w:type="paragraph" w:customStyle="1" w:styleId="Headline1">
    <w:name w:val="Headline 1"/>
    <w:link w:val="Headline1Char"/>
    <w:rsid w:val="0071236A"/>
    <w:pPr>
      <w:spacing w:after="240"/>
    </w:pPr>
    <w:rPr>
      <w:rFonts w:ascii="EYInterstate Regular" w:hAnsi="EYInterstate Regular" w:cs="Arial"/>
      <w:bCs/>
      <w:color w:val="808080"/>
      <w:sz w:val="48"/>
      <w:szCs w:val="48"/>
    </w:rPr>
  </w:style>
  <w:style w:type="paragraph" w:customStyle="1" w:styleId="Headerandfooter">
    <w:name w:val="Header and footer"/>
    <w:basedOn w:val="Nagwek"/>
    <w:rsid w:val="0071236A"/>
    <w:pPr>
      <w:widowControl/>
      <w:autoSpaceDE/>
      <w:autoSpaceDN/>
      <w:adjustRightInd/>
      <w:spacing w:line="180" w:lineRule="exact"/>
    </w:pPr>
    <w:rPr>
      <w:rFonts w:ascii="EYInterstate Regular" w:hAnsi="EYInterstate Regular"/>
      <w:color w:val="000000" w:themeColor="text1"/>
      <w:sz w:val="14"/>
      <w:szCs w:val="24"/>
    </w:rPr>
  </w:style>
  <w:style w:type="paragraph" w:customStyle="1" w:styleId="Headline2">
    <w:name w:val="Headline 2"/>
    <w:rsid w:val="0071236A"/>
    <w:pPr>
      <w:spacing w:line="400" w:lineRule="exact"/>
    </w:pPr>
    <w:rPr>
      <w:rFonts w:ascii="EYInterstate Regular" w:hAnsi="EYInterstate Regular" w:cs="Arial"/>
      <w:bCs/>
      <w:color w:val="808080"/>
      <w:sz w:val="36"/>
      <w:szCs w:val="48"/>
      <w:lang w:val="en-GB"/>
    </w:rPr>
  </w:style>
  <w:style w:type="table" w:styleId="Tabela-Siatka">
    <w:name w:val="Table Grid"/>
    <w:aliases w:val="CV table"/>
    <w:basedOn w:val="Standardowy"/>
    <w:rsid w:val="0071236A"/>
    <w:rPr>
      <w:lang w:val="en-GB" w:eastAsia="en-GB"/>
    </w:rPr>
    <w:tblPr/>
    <w:tcPr>
      <w:shd w:val="clear" w:color="auto" w:fill="FF00FF"/>
    </w:tcPr>
  </w:style>
  <w:style w:type="character" w:customStyle="1" w:styleId="Headline1Char">
    <w:name w:val="Headline 1 Char"/>
    <w:basedOn w:val="Domylnaczcionkaakapitu"/>
    <w:link w:val="Headline1"/>
    <w:rsid w:val="0071236A"/>
    <w:rPr>
      <w:rFonts w:ascii="EYInterstate Regular" w:hAnsi="EYInterstate Regular" w:cs="Arial"/>
      <w:bCs/>
      <w:color w:val="808080"/>
      <w:sz w:val="48"/>
      <w:szCs w:val="48"/>
    </w:rPr>
  </w:style>
  <w:style w:type="character" w:customStyle="1" w:styleId="HeaderandfooterLight">
    <w:name w:val="Header and footer Light"/>
    <w:basedOn w:val="Domylnaczcionkaakapitu"/>
    <w:uiPriority w:val="1"/>
    <w:qFormat/>
    <w:rsid w:val="0071236A"/>
    <w:rPr>
      <w:rFonts w:ascii="EYInterstate Light" w:hAnsi="EYInterstate Light"/>
      <w:color w:val="000000"/>
    </w:rPr>
  </w:style>
  <w:style w:type="character" w:customStyle="1" w:styleId="HeaderandfooterPink">
    <w:name w:val="Header and footer Pink"/>
    <w:basedOn w:val="HeaderandfooterLight"/>
    <w:uiPriority w:val="1"/>
    <w:qFormat/>
    <w:rsid w:val="0071236A"/>
    <w:rPr>
      <w:rFonts w:ascii="EYInterstate Light" w:hAnsi="EYInterstate Light"/>
      <w:color w:val="EB008C"/>
    </w:rPr>
  </w:style>
  <w:style w:type="paragraph" w:customStyle="1" w:styleId="ListParagraph1">
    <w:name w:val="List Paragraph1"/>
    <w:basedOn w:val="Normalny"/>
    <w:next w:val="Akapitzlist"/>
    <w:uiPriority w:val="34"/>
    <w:qFormat/>
    <w:rsid w:val="002A2DDD"/>
    <w:pPr>
      <w:widowControl/>
      <w:autoSpaceDE/>
      <w:autoSpaceDN/>
      <w:adjustRightInd/>
      <w:spacing w:line="240" w:lineRule="auto"/>
      <w:ind w:left="720"/>
      <w:contextualSpacing/>
    </w:pPr>
    <w:rPr>
      <w:rFonts w:ascii="Calibri" w:eastAsia="Calibri" w:hAnsi="Calibri"/>
      <w:szCs w:val="24"/>
      <w:lang w:val="pl-PL"/>
    </w:rPr>
  </w:style>
  <w:style w:type="paragraph" w:styleId="Akapitzlist">
    <w:name w:val="List Paragraph"/>
    <w:aliases w:val="Styl moj,Akapit z listą11"/>
    <w:basedOn w:val="Normalny"/>
    <w:link w:val="AkapitzlistZnak"/>
    <w:uiPriority w:val="34"/>
    <w:qFormat/>
    <w:rsid w:val="002A2DDD"/>
    <w:pPr>
      <w:ind w:left="720"/>
      <w:contextualSpacing/>
    </w:pPr>
  </w:style>
  <w:style w:type="character" w:customStyle="1" w:styleId="AkapitzlistZnak">
    <w:name w:val="Akapit z listą Znak"/>
    <w:aliases w:val="Styl moj Znak,Akapit z listą11 Znak"/>
    <w:link w:val="Akapitzlist"/>
    <w:uiPriority w:val="34"/>
    <w:locked/>
    <w:rsid w:val="00832C37"/>
    <w:rPr>
      <w:rFonts w:ascii="EYInterstate Light" w:hAnsi="EYInterstate Light"/>
      <w:sz w:val="24"/>
    </w:rPr>
  </w:style>
  <w:style w:type="paragraph" w:styleId="Legenda">
    <w:name w:val="caption"/>
    <w:basedOn w:val="Normalny"/>
    <w:next w:val="Normalny"/>
    <w:unhideWhenUsed/>
    <w:qFormat/>
    <w:rsid w:val="0039771D"/>
    <w:pPr>
      <w:spacing w:after="200" w:line="240" w:lineRule="auto"/>
    </w:pPr>
    <w:rPr>
      <w:i/>
      <w:iCs/>
      <w:color w:val="1F497D" w:themeColor="text2"/>
      <w:sz w:val="18"/>
      <w:szCs w:val="18"/>
    </w:rPr>
  </w:style>
  <w:style w:type="character" w:styleId="Odwoaniedokomentarza">
    <w:name w:val="annotation reference"/>
    <w:basedOn w:val="Domylnaczcionkaakapitu"/>
    <w:semiHidden/>
    <w:unhideWhenUsed/>
    <w:rsid w:val="004A1249"/>
    <w:rPr>
      <w:sz w:val="16"/>
      <w:szCs w:val="16"/>
    </w:rPr>
  </w:style>
  <w:style w:type="paragraph" w:styleId="Tekstkomentarza">
    <w:name w:val="annotation text"/>
    <w:basedOn w:val="Normalny"/>
    <w:link w:val="TekstkomentarzaZnak"/>
    <w:semiHidden/>
    <w:unhideWhenUsed/>
    <w:rsid w:val="004A1249"/>
    <w:pPr>
      <w:spacing w:line="240" w:lineRule="auto"/>
    </w:pPr>
    <w:rPr>
      <w:sz w:val="20"/>
    </w:rPr>
  </w:style>
  <w:style w:type="character" w:customStyle="1" w:styleId="TekstkomentarzaZnak">
    <w:name w:val="Tekst komentarza Znak"/>
    <w:basedOn w:val="Domylnaczcionkaakapitu"/>
    <w:link w:val="Tekstkomentarza"/>
    <w:semiHidden/>
    <w:rsid w:val="004A1249"/>
    <w:rPr>
      <w:rFonts w:ascii="EYInterstate Light" w:hAnsi="EYInterstate Light"/>
    </w:rPr>
  </w:style>
  <w:style w:type="paragraph" w:styleId="Tematkomentarza">
    <w:name w:val="annotation subject"/>
    <w:basedOn w:val="Tekstkomentarza"/>
    <w:next w:val="Tekstkomentarza"/>
    <w:link w:val="TematkomentarzaZnak"/>
    <w:semiHidden/>
    <w:unhideWhenUsed/>
    <w:rsid w:val="004A1249"/>
    <w:rPr>
      <w:b/>
      <w:bCs/>
    </w:rPr>
  </w:style>
  <w:style w:type="character" w:customStyle="1" w:styleId="TematkomentarzaZnak">
    <w:name w:val="Temat komentarza Znak"/>
    <w:basedOn w:val="TekstkomentarzaZnak"/>
    <w:link w:val="Tematkomentarza"/>
    <w:semiHidden/>
    <w:rsid w:val="004A1249"/>
    <w:rPr>
      <w:rFonts w:ascii="EYInterstate Light" w:hAnsi="EYInterstate Light"/>
      <w:b/>
      <w:bCs/>
    </w:rPr>
  </w:style>
  <w:style w:type="character" w:styleId="UyteHipercze">
    <w:name w:val="FollowedHyperlink"/>
    <w:basedOn w:val="Domylnaczcionkaakapitu"/>
    <w:semiHidden/>
    <w:unhideWhenUsed/>
    <w:rsid w:val="00BF0FCD"/>
    <w:rPr>
      <w:color w:val="800080" w:themeColor="followedHyperlink"/>
      <w:u w:val="single"/>
    </w:rPr>
  </w:style>
  <w:style w:type="character" w:customStyle="1" w:styleId="StopkaZnak">
    <w:name w:val="Stopka Znak"/>
    <w:aliases w:val="EY Footer Znak"/>
    <w:basedOn w:val="Domylnaczcionkaakapitu"/>
    <w:link w:val="Stopka"/>
    <w:uiPriority w:val="99"/>
    <w:rsid w:val="009757E0"/>
    <w:rPr>
      <w:rFonts w:ascii="EYInterstate Light" w:hAnsi="EYInterstate Light"/>
      <w:sz w:val="22"/>
    </w:rPr>
  </w:style>
  <w:style w:type="paragraph" w:styleId="NormalnyWeb">
    <w:name w:val="Normal (Web)"/>
    <w:basedOn w:val="Normalny"/>
    <w:uiPriority w:val="99"/>
    <w:semiHidden/>
    <w:unhideWhenUsed/>
    <w:rsid w:val="0081709A"/>
    <w:pPr>
      <w:widowControl/>
      <w:autoSpaceDE/>
      <w:autoSpaceDN/>
      <w:adjustRightInd/>
      <w:spacing w:before="100" w:beforeAutospacing="1" w:after="100" w:afterAutospacing="1" w:line="240" w:lineRule="auto"/>
      <w:jc w:val="left"/>
    </w:pPr>
    <w:rPr>
      <w:rFonts w:ascii="Times New Roman" w:eastAsiaTheme="minorEastAsia" w:hAnsi="Times New Roman"/>
      <w:sz w:val="24"/>
      <w:szCs w:val="24"/>
    </w:rPr>
  </w:style>
  <w:style w:type="table" w:customStyle="1" w:styleId="PlainTable31">
    <w:name w:val="Plain Table 31"/>
    <w:basedOn w:val="Standardowy"/>
    <w:uiPriority w:val="43"/>
    <w:rsid w:val="005C2F7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F41F3B"/>
    <w:pPr>
      <w:autoSpaceDE w:val="0"/>
      <w:autoSpaceDN w:val="0"/>
      <w:adjustRightInd w:val="0"/>
    </w:pPr>
    <w:rPr>
      <w:color w:val="000000"/>
      <w:sz w:val="24"/>
      <w:szCs w:val="24"/>
      <w:lang w:val="pl-PL"/>
    </w:rPr>
  </w:style>
  <w:style w:type="table" w:customStyle="1" w:styleId="TableGridLight1">
    <w:name w:val="Table Grid Light1"/>
    <w:basedOn w:val="Standardowy"/>
    <w:uiPriority w:val="40"/>
    <w:rsid w:val="007704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Standardowy"/>
    <w:uiPriority w:val="45"/>
    <w:rsid w:val="0077047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pisilustracji">
    <w:name w:val="table of figures"/>
    <w:basedOn w:val="Normalny"/>
    <w:next w:val="Normalny"/>
    <w:uiPriority w:val="99"/>
    <w:unhideWhenUsed/>
    <w:rsid w:val="001E218A"/>
    <w:pPr>
      <w:spacing w:before="0" w:after="0"/>
      <w:ind w:left="440" w:hanging="440"/>
      <w:jc w:val="left"/>
    </w:pPr>
    <w:rPr>
      <w:rFonts w:asciiTheme="minorHAnsi" w:hAnsiTheme="minorHAnsi" w:cstheme="minorHAnsi"/>
      <w:caps/>
      <w:sz w:val="20"/>
    </w:rPr>
  </w:style>
  <w:style w:type="character" w:customStyle="1" w:styleId="Nagwek1Znak">
    <w:name w:val="Nagłówek 1 Znak"/>
    <w:basedOn w:val="Domylnaczcionkaakapitu"/>
    <w:link w:val="Nagwek1"/>
    <w:uiPriority w:val="9"/>
    <w:rsid w:val="007254A8"/>
    <w:rPr>
      <w:rFonts w:ascii="EYInterstate Light" w:hAnsi="EYInterstate Light"/>
      <w:b/>
      <w:bCs/>
      <w:sz w:val="28"/>
      <w:szCs w:val="24"/>
    </w:rPr>
  </w:style>
  <w:style w:type="paragraph" w:customStyle="1" w:styleId="EYBodytextnoparaspace">
    <w:name w:val="EY Body text (no para space)"/>
    <w:basedOn w:val="Normalny"/>
    <w:rsid w:val="003123D7"/>
    <w:pPr>
      <w:widowControl/>
      <w:tabs>
        <w:tab w:val="left" w:pos="907"/>
      </w:tabs>
      <w:suppressAutoHyphens/>
      <w:autoSpaceDE/>
      <w:autoSpaceDN/>
      <w:adjustRightInd/>
      <w:spacing w:before="0" w:after="0" w:line="260" w:lineRule="atLeast"/>
      <w:jc w:val="left"/>
    </w:pPr>
    <w:rPr>
      <w:rFonts w:ascii="Arial" w:hAnsi="Arial"/>
      <w:kern w:val="12"/>
      <w:sz w:val="20"/>
      <w:szCs w:val="24"/>
    </w:rPr>
  </w:style>
  <w:style w:type="table" w:customStyle="1" w:styleId="CVtable1">
    <w:name w:val="CV table1"/>
    <w:basedOn w:val="Standardowy"/>
    <w:next w:val="Tabela-Siatka"/>
    <w:rsid w:val="00E54B2D"/>
    <w:rPr>
      <w:rFonts w:ascii="Calibri" w:eastAsia="Calibri" w:hAnsi="Calibr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11">
    <w:name w:val="CV table11"/>
    <w:basedOn w:val="Standardowy"/>
    <w:next w:val="Tabela-Siatka"/>
    <w:rsid w:val="00E54B2D"/>
    <w:rPr>
      <w:lang w:val="en-GB" w:eastAsia="en-GB"/>
    </w:rPr>
    <w:tblPr/>
    <w:tcPr>
      <w:shd w:val="clear" w:color="auto" w:fill="FF00FF"/>
    </w:tcPr>
  </w:style>
  <w:style w:type="paragraph" w:styleId="Poprawka">
    <w:name w:val="Revision"/>
    <w:hidden/>
    <w:uiPriority w:val="99"/>
    <w:semiHidden/>
    <w:rsid w:val="00212318"/>
    <w:rPr>
      <w:rFonts w:ascii="EYInterstate Light" w:hAnsi="EYInterstate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06">
      <w:bodyDiv w:val="1"/>
      <w:marLeft w:val="0"/>
      <w:marRight w:val="0"/>
      <w:marTop w:val="0"/>
      <w:marBottom w:val="0"/>
      <w:divBdr>
        <w:top w:val="none" w:sz="0" w:space="0" w:color="auto"/>
        <w:left w:val="none" w:sz="0" w:space="0" w:color="auto"/>
        <w:bottom w:val="none" w:sz="0" w:space="0" w:color="auto"/>
        <w:right w:val="none" w:sz="0" w:space="0" w:color="auto"/>
      </w:divBdr>
    </w:div>
    <w:div w:id="105277534">
      <w:bodyDiv w:val="1"/>
      <w:marLeft w:val="0"/>
      <w:marRight w:val="0"/>
      <w:marTop w:val="0"/>
      <w:marBottom w:val="0"/>
      <w:divBdr>
        <w:top w:val="none" w:sz="0" w:space="0" w:color="auto"/>
        <w:left w:val="none" w:sz="0" w:space="0" w:color="auto"/>
        <w:bottom w:val="none" w:sz="0" w:space="0" w:color="auto"/>
        <w:right w:val="none" w:sz="0" w:space="0" w:color="auto"/>
      </w:divBdr>
    </w:div>
    <w:div w:id="125859379">
      <w:bodyDiv w:val="1"/>
      <w:marLeft w:val="0"/>
      <w:marRight w:val="0"/>
      <w:marTop w:val="0"/>
      <w:marBottom w:val="0"/>
      <w:divBdr>
        <w:top w:val="none" w:sz="0" w:space="0" w:color="auto"/>
        <w:left w:val="none" w:sz="0" w:space="0" w:color="auto"/>
        <w:bottom w:val="none" w:sz="0" w:space="0" w:color="auto"/>
        <w:right w:val="none" w:sz="0" w:space="0" w:color="auto"/>
      </w:divBdr>
    </w:div>
    <w:div w:id="145783075">
      <w:bodyDiv w:val="1"/>
      <w:marLeft w:val="0"/>
      <w:marRight w:val="0"/>
      <w:marTop w:val="0"/>
      <w:marBottom w:val="0"/>
      <w:divBdr>
        <w:top w:val="none" w:sz="0" w:space="0" w:color="auto"/>
        <w:left w:val="none" w:sz="0" w:space="0" w:color="auto"/>
        <w:bottom w:val="none" w:sz="0" w:space="0" w:color="auto"/>
        <w:right w:val="none" w:sz="0" w:space="0" w:color="auto"/>
      </w:divBdr>
    </w:div>
    <w:div w:id="195043662">
      <w:bodyDiv w:val="1"/>
      <w:marLeft w:val="0"/>
      <w:marRight w:val="0"/>
      <w:marTop w:val="0"/>
      <w:marBottom w:val="0"/>
      <w:divBdr>
        <w:top w:val="none" w:sz="0" w:space="0" w:color="auto"/>
        <w:left w:val="none" w:sz="0" w:space="0" w:color="auto"/>
        <w:bottom w:val="none" w:sz="0" w:space="0" w:color="auto"/>
        <w:right w:val="none" w:sz="0" w:space="0" w:color="auto"/>
      </w:divBdr>
    </w:div>
    <w:div w:id="217057753">
      <w:bodyDiv w:val="1"/>
      <w:marLeft w:val="0"/>
      <w:marRight w:val="0"/>
      <w:marTop w:val="0"/>
      <w:marBottom w:val="0"/>
      <w:divBdr>
        <w:top w:val="none" w:sz="0" w:space="0" w:color="auto"/>
        <w:left w:val="none" w:sz="0" w:space="0" w:color="auto"/>
        <w:bottom w:val="none" w:sz="0" w:space="0" w:color="auto"/>
        <w:right w:val="none" w:sz="0" w:space="0" w:color="auto"/>
      </w:divBdr>
    </w:div>
    <w:div w:id="222985206">
      <w:bodyDiv w:val="1"/>
      <w:marLeft w:val="0"/>
      <w:marRight w:val="0"/>
      <w:marTop w:val="0"/>
      <w:marBottom w:val="0"/>
      <w:divBdr>
        <w:top w:val="none" w:sz="0" w:space="0" w:color="auto"/>
        <w:left w:val="none" w:sz="0" w:space="0" w:color="auto"/>
        <w:bottom w:val="none" w:sz="0" w:space="0" w:color="auto"/>
        <w:right w:val="none" w:sz="0" w:space="0" w:color="auto"/>
      </w:divBdr>
    </w:div>
    <w:div w:id="290861372">
      <w:bodyDiv w:val="1"/>
      <w:marLeft w:val="0"/>
      <w:marRight w:val="0"/>
      <w:marTop w:val="0"/>
      <w:marBottom w:val="0"/>
      <w:divBdr>
        <w:top w:val="none" w:sz="0" w:space="0" w:color="auto"/>
        <w:left w:val="none" w:sz="0" w:space="0" w:color="auto"/>
        <w:bottom w:val="none" w:sz="0" w:space="0" w:color="auto"/>
        <w:right w:val="none" w:sz="0" w:space="0" w:color="auto"/>
      </w:divBdr>
    </w:div>
    <w:div w:id="317460918">
      <w:bodyDiv w:val="1"/>
      <w:marLeft w:val="0"/>
      <w:marRight w:val="0"/>
      <w:marTop w:val="0"/>
      <w:marBottom w:val="0"/>
      <w:divBdr>
        <w:top w:val="none" w:sz="0" w:space="0" w:color="auto"/>
        <w:left w:val="none" w:sz="0" w:space="0" w:color="auto"/>
        <w:bottom w:val="none" w:sz="0" w:space="0" w:color="auto"/>
        <w:right w:val="none" w:sz="0" w:space="0" w:color="auto"/>
      </w:divBdr>
    </w:div>
    <w:div w:id="371275005">
      <w:bodyDiv w:val="1"/>
      <w:marLeft w:val="0"/>
      <w:marRight w:val="0"/>
      <w:marTop w:val="0"/>
      <w:marBottom w:val="0"/>
      <w:divBdr>
        <w:top w:val="none" w:sz="0" w:space="0" w:color="auto"/>
        <w:left w:val="none" w:sz="0" w:space="0" w:color="auto"/>
        <w:bottom w:val="none" w:sz="0" w:space="0" w:color="auto"/>
        <w:right w:val="none" w:sz="0" w:space="0" w:color="auto"/>
      </w:divBdr>
    </w:div>
    <w:div w:id="404450308">
      <w:bodyDiv w:val="1"/>
      <w:marLeft w:val="0"/>
      <w:marRight w:val="0"/>
      <w:marTop w:val="0"/>
      <w:marBottom w:val="0"/>
      <w:divBdr>
        <w:top w:val="none" w:sz="0" w:space="0" w:color="auto"/>
        <w:left w:val="none" w:sz="0" w:space="0" w:color="auto"/>
        <w:bottom w:val="none" w:sz="0" w:space="0" w:color="auto"/>
        <w:right w:val="none" w:sz="0" w:space="0" w:color="auto"/>
      </w:divBdr>
    </w:div>
    <w:div w:id="433521616">
      <w:bodyDiv w:val="1"/>
      <w:marLeft w:val="0"/>
      <w:marRight w:val="0"/>
      <w:marTop w:val="0"/>
      <w:marBottom w:val="0"/>
      <w:divBdr>
        <w:top w:val="none" w:sz="0" w:space="0" w:color="auto"/>
        <w:left w:val="none" w:sz="0" w:space="0" w:color="auto"/>
        <w:bottom w:val="none" w:sz="0" w:space="0" w:color="auto"/>
        <w:right w:val="none" w:sz="0" w:space="0" w:color="auto"/>
      </w:divBdr>
    </w:div>
    <w:div w:id="461769522">
      <w:bodyDiv w:val="1"/>
      <w:marLeft w:val="0"/>
      <w:marRight w:val="0"/>
      <w:marTop w:val="0"/>
      <w:marBottom w:val="0"/>
      <w:divBdr>
        <w:top w:val="none" w:sz="0" w:space="0" w:color="auto"/>
        <w:left w:val="none" w:sz="0" w:space="0" w:color="auto"/>
        <w:bottom w:val="none" w:sz="0" w:space="0" w:color="auto"/>
        <w:right w:val="none" w:sz="0" w:space="0" w:color="auto"/>
      </w:divBdr>
    </w:div>
    <w:div w:id="514686617">
      <w:bodyDiv w:val="1"/>
      <w:marLeft w:val="0"/>
      <w:marRight w:val="0"/>
      <w:marTop w:val="0"/>
      <w:marBottom w:val="0"/>
      <w:divBdr>
        <w:top w:val="none" w:sz="0" w:space="0" w:color="auto"/>
        <w:left w:val="none" w:sz="0" w:space="0" w:color="auto"/>
        <w:bottom w:val="none" w:sz="0" w:space="0" w:color="auto"/>
        <w:right w:val="none" w:sz="0" w:space="0" w:color="auto"/>
      </w:divBdr>
    </w:div>
    <w:div w:id="558705981">
      <w:bodyDiv w:val="1"/>
      <w:marLeft w:val="0"/>
      <w:marRight w:val="0"/>
      <w:marTop w:val="0"/>
      <w:marBottom w:val="0"/>
      <w:divBdr>
        <w:top w:val="none" w:sz="0" w:space="0" w:color="auto"/>
        <w:left w:val="none" w:sz="0" w:space="0" w:color="auto"/>
        <w:bottom w:val="none" w:sz="0" w:space="0" w:color="auto"/>
        <w:right w:val="none" w:sz="0" w:space="0" w:color="auto"/>
      </w:divBdr>
    </w:div>
    <w:div w:id="592586668">
      <w:bodyDiv w:val="1"/>
      <w:marLeft w:val="0"/>
      <w:marRight w:val="0"/>
      <w:marTop w:val="0"/>
      <w:marBottom w:val="0"/>
      <w:divBdr>
        <w:top w:val="none" w:sz="0" w:space="0" w:color="auto"/>
        <w:left w:val="none" w:sz="0" w:space="0" w:color="auto"/>
        <w:bottom w:val="none" w:sz="0" w:space="0" w:color="auto"/>
        <w:right w:val="none" w:sz="0" w:space="0" w:color="auto"/>
      </w:divBdr>
      <w:divsChild>
        <w:div w:id="1495991664">
          <w:marLeft w:val="288"/>
          <w:marRight w:val="0"/>
          <w:marTop w:val="120"/>
          <w:marBottom w:val="0"/>
          <w:divBdr>
            <w:top w:val="none" w:sz="0" w:space="0" w:color="auto"/>
            <w:left w:val="none" w:sz="0" w:space="0" w:color="auto"/>
            <w:bottom w:val="none" w:sz="0" w:space="0" w:color="auto"/>
            <w:right w:val="none" w:sz="0" w:space="0" w:color="auto"/>
          </w:divBdr>
        </w:div>
      </w:divsChild>
    </w:div>
    <w:div w:id="607322311">
      <w:bodyDiv w:val="1"/>
      <w:marLeft w:val="0"/>
      <w:marRight w:val="0"/>
      <w:marTop w:val="0"/>
      <w:marBottom w:val="0"/>
      <w:divBdr>
        <w:top w:val="none" w:sz="0" w:space="0" w:color="auto"/>
        <w:left w:val="none" w:sz="0" w:space="0" w:color="auto"/>
        <w:bottom w:val="none" w:sz="0" w:space="0" w:color="auto"/>
        <w:right w:val="none" w:sz="0" w:space="0" w:color="auto"/>
      </w:divBdr>
    </w:div>
    <w:div w:id="637488918">
      <w:bodyDiv w:val="1"/>
      <w:marLeft w:val="0"/>
      <w:marRight w:val="0"/>
      <w:marTop w:val="0"/>
      <w:marBottom w:val="0"/>
      <w:divBdr>
        <w:top w:val="none" w:sz="0" w:space="0" w:color="auto"/>
        <w:left w:val="none" w:sz="0" w:space="0" w:color="auto"/>
        <w:bottom w:val="none" w:sz="0" w:space="0" w:color="auto"/>
        <w:right w:val="none" w:sz="0" w:space="0" w:color="auto"/>
      </w:divBdr>
    </w:div>
    <w:div w:id="755438506">
      <w:bodyDiv w:val="1"/>
      <w:marLeft w:val="0"/>
      <w:marRight w:val="0"/>
      <w:marTop w:val="0"/>
      <w:marBottom w:val="0"/>
      <w:divBdr>
        <w:top w:val="none" w:sz="0" w:space="0" w:color="auto"/>
        <w:left w:val="none" w:sz="0" w:space="0" w:color="auto"/>
        <w:bottom w:val="none" w:sz="0" w:space="0" w:color="auto"/>
        <w:right w:val="none" w:sz="0" w:space="0" w:color="auto"/>
      </w:divBdr>
    </w:div>
    <w:div w:id="760415694">
      <w:bodyDiv w:val="1"/>
      <w:marLeft w:val="0"/>
      <w:marRight w:val="0"/>
      <w:marTop w:val="0"/>
      <w:marBottom w:val="0"/>
      <w:divBdr>
        <w:top w:val="none" w:sz="0" w:space="0" w:color="auto"/>
        <w:left w:val="none" w:sz="0" w:space="0" w:color="auto"/>
        <w:bottom w:val="none" w:sz="0" w:space="0" w:color="auto"/>
        <w:right w:val="none" w:sz="0" w:space="0" w:color="auto"/>
      </w:divBdr>
    </w:div>
    <w:div w:id="813371480">
      <w:bodyDiv w:val="1"/>
      <w:marLeft w:val="0"/>
      <w:marRight w:val="0"/>
      <w:marTop w:val="0"/>
      <w:marBottom w:val="0"/>
      <w:divBdr>
        <w:top w:val="none" w:sz="0" w:space="0" w:color="auto"/>
        <w:left w:val="none" w:sz="0" w:space="0" w:color="auto"/>
        <w:bottom w:val="none" w:sz="0" w:space="0" w:color="auto"/>
        <w:right w:val="none" w:sz="0" w:space="0" w:color="auto"/>
      </w:divBdr>
    </w:div>
    <w:div w:id="814756573">
      <w:bodyDiv w:val="1"/>
      <w:marLeft w:val="0"/>
      <w:marRight w:val="0"/>
      <w:marTop w:val="0"/>
      <w:marBottom w:val="0"/>
      <w:divBdr>
        <w:top w:val="none" w:sz="0" w:space="0" w:color="auto"/>
        <w:left w:val="none" w:sz="0" w:space="0" w:color="auto"/>
        <w:bottom w:val="none" w:sz="0" w:space="0" w:color="auto"/>
        <w:right w:val="none" w:sz="0" w:space="0" w:color="auto"/>
      </w:divBdr>
    </w:div>
    <w:div w:id="874149676">
      <w:bodyDiv w:val="1"/>
      <w:marLeft w:val="0"/>
      <w:marRight w:val="0"/>
      <w:marTop w:val="0"/>
      <w:marBottom w:val="0"/>
      <w:divBdr>
        <w:top w:val="none" w:sz="0" w:space="0" w:color="auto"/>
        <w:left w:val="none" w:sz="0" w:space="0" w:color="auto"/>
        <w:bottom w:val="none" w:sz="0" w:space="0" w:color="auto"/>
        <w:right w:val="none" w:sz="0" w:space="0" w:color="auto"/>
      </w:divBdr>
    </w:div>
    <w:div w:id="882135110">
      <w:bodyDiv w:val="1"/>
      <w:marLeft w:val="0"/>
      <w:marRight w:val="0"/>
      <w:marTop w:val="0"/>
      <w:marBottom w:val="0"/>
      <w:divBdr>
        <w:top w:val="none" w:sz="0" w:space="0" w:color="auto"/>
        <w:left w:val="none" w:sz="0" w:space="0" w:color="auto"/>
        <w:bottom w:val="none" w:sz="0" w:space="0" w:color="auto"/>
        <w:right w:val="none" w:sz="0" w:space="0" w:color="auto"/>
      </w:divBdr>
    </w:div>
    <w:div w:id="901604404">
      <w:bodyDiv w:val="1"/>
      <w:marLeft w:val="0"/>
      <w:marRight w:val="0"/>
      <w:marTop w:val="0"/>
      <w:marBottom w:val="0"/>
      <w:divBdr>
        <w:top w:val="none" w:sz="0" w:space="0" w:color="auto"/>
        <w:left w:val="none" w:sz="0" w:space="0" w:color="auto"/>
        <w:bottom w:val="none" w:sz="0" w:space="0" w:color="auto"/>
        <w:right w:val="none" w:sz="0" w:space="0" w:color="auto"/>
      </w:divBdr>
    </w:div>
    <w:div w:id="906459791">
      <w:bodyDiv w:val="1"/>
      <w:marLeft w:val="0"/>
      <w:marRight w:val="0"/>
      <w:marTop w:val="0"/>
      <w:marBottom w:val="0"/>
      <w:divBdr>
        <w:top w:val="none" w:sz="0" w:space="0" w:color="auto"/>
        <w:left w:val="none" w:sz="0" w:space="0" w:color="auto"/>
        <w:bottom w:val="none" w:sz="0" w:space="0" w:color="auto"/>
        <w:right w:val="none" w:sz="0" w:space="0" w:color="auto"/>
      </w:divBdr>
      <w:divsChild>
        <w:div w:id="1472287631">
          <w:marLeft w:val="288"/>
          <w:marRight w:val="0"/>
          <w:marTop w:val="120"/>
          <w:marBottom w:val="0"/>
          <w:divBdr>
            <w:top w:val="none" w:sz="0" w:space="0" w:color="auto"/>
            <w:left w:val="none" w:sz="0" w:space="0" w:color="auto"/>
            <w:bottom w:val="none" w:sz="0" w:space="0" w:color="auto"/>
            <w:right w:val="none" w:sz="0" w:space="0" w:color="auto"/>
          </w:divBdr>
        </w:div>
      </w:divsChild>
    </w:div>
    <w:div w:id="914053006">
      <w:bodyDiv w:val="1"/>
      <w:marLeft w:val="0"/>
      <w:marRight w:val="0"/>
      <w:marTop w:val="0"/>
      <w:marBottom w:val="0"/>
      <w:divBdr>
        <w:top w:val="none" w:sz="0" w:space="0" w:color="auto"/>
        <w:left w:val="none" w:sz="0" w:space="0" w:color="auto"/>
        <w:bottom w:val="none" w:sz="0" w:space="0" w:color="auto"/>
        <w:right w:val="none" w:sz="0" w:space="0" w:color="auto"/>
      </w:divBdr>
    </w:div>
    <w:div w:id="924264965">
      <w:bodyDiv w:val="1"/>
      <w:marLeft w:val="0"/>
      <w:marRight w:val="0"/>
      <w:marTop w:val="0"/>
      <w:marBottom w:val="0"/>
      <w:divBdr>
        <w:top w:val="none" w:sz="0" w:space="0" w:color="auto"/>
        <w:left w:val="none" w:sz="0" w:space="0" w:color="auto"/>
        <w:bottom w:val="none" w:sz="0" w:space="0" w:color="auto"/>
        <w:right w:val="none" w:sz="0" w:space="0" w:color="auto"/>
      </w:divBdr>
      <w:divsChild>
        <w:div w:id="214506123">
          <w:marLeft w:val="418"/>
          <w:marRight w:val="0"/>
          <w:marTop w:val="0"/>
          <w:marBottom w:val="120"/>
          <w:divBdr>
            <w:top w:val="none" w:sz="0" w:space="0" w:color="auto"/>
            <w:left w:val="none" w:sz="0" w:space="0" w:color="auto"/>
            <w:bottom w:val="none" w:sz="0" w:space="0" w:color="auto"/>
            <w:right w:val="none" w:sz="0" w:space="0" w:color="auto"/>
          </w:divBdr>
        </w:div>
        <w:div w:id="483352412">
          <w:marLeft w:val="418"/>
          <w:marRight w:val="0"/>
          <w:marTop w:val="0"/>
          <w:marBottom w:val="120"/>
          <w:divBdr>
            <w:top w:val="none" w:sz="0" w:space="0" w:color="auto"/>
            <w:left w:val="none" w:sz="0" w:space="0" w:color="auto"/>
            <w:bottom w:val="none" w:sz="0" w:space="0" w:color="auto"/>
            <w:right w:val="none" w:sz="0" w:space="0" w:color="auto"/>
          </w:divBdr>
        </w:div>
        <w:div w:id="1916435310">
          <w:marLeft w:val="418"/>
          <w:marRight w:val="0"/>
          <w:marTop w:val="0"/>
          <w:marBottom w:val="120"/>
          <w:divBdr>
            <w:top w:val="none" w:sz="0" w:space="0" w:color="auto"/>
            <w:left w:val="none" w:sz="0" w:space="0" w:color="auto"/>
            <w:bottom w:val="none" w:sz="0" w:space="0" w:color="auto"/>
            <w:right w:val="none" w:sz="0" w:space="0" w:color="auto"/>
          </w:divBdr>
        </w:div>
        <w:div w:id="2114786687">
          <w:marLeft w:val="418"/>
          <w:marRight w:val="0"/>
          <w:marTop w:val="0"/>
          <w:marBottom w:val="120"/>
          <w:divBdr>
            <w:top w:val="none" w:sz="0" w:space="0" w:color="auto"/>
            <w:left w:val="none" w:sz="0" w:space="0" w:color="auto"/>
            <w:bottom w:val="none" w:sz="0" w:space="0" w:color="auto"/>
            <w:right w:val="none" w:sz="0" w:space="0" w:color="auto"/>
          </w:divBdr>
        </w:div>
      </w:divsChild>
    </w:div>
    <w:div w:id="926301867">
      <w:bodyDiv w:val="1"/>
      <w:marLeft w:val="0"/>
      <w:marRight w:val="0"/>
      <w:marTop w:val="0"/>
      <w:marBottom w:val="0"/>
      <w:divBdr>
        <w:top w:val="none" w:sz="0" w:space="0" w:color="auto"/>
        <w:left w:val="none" w:sz="0" w:space="0" w:color="auto"/>
        <w:bottom w:val="none" w:sz="0" w:space="0" w:color="auto"/>
        <w:right w:val="none" w:sz="0" w:space="0" w:color="auto"/>
      </w:divBdr>
    </w:div>
    <w:div w:id="941258253">
      <w:bodyDiv w:val="1"/>
      <w:marLeft w:val="0"/>
      <w:marRight w:val="0"/>
      <w:marTop w:val="0"/>
      <w:marBottom w:val="0"/>
      <w:divBdr>
        <w:top w:val="none" w:sz="0" w:space="0" w:color="auto"/>
        <w:left w:val="none" w:sz="0" w:space="0" w:color="auto"/>
        <w:bottom w:val="none" w:sz="0" w:space="0" w:color="auto"/>
        <w:right w:val="none" w:sz="0" w:space="0" w:color="auto"/>
      </w:divBdr>
    </w:div>
    <w:div w:id="975453590">
      <w:bodyDiv w:val="1"/>
      <w:marLeft w:val="0"/>
      <w:marRight w:val="0"/>
      <w:marTop w:val="0"/>
      <w:marBottom w:val="0"/>
      <w:divBdr>
        <w:top w:val="none" w:sz="0" w:space="0" w:color="auto"/>
        <w:left w:val="none" w:sz="0" w:space="0" w:color="auto"/>
        <w:bottom w:val="none" w:sz="0" w:space="0" w:color="auto"/>
        <w:right w:val="none" w:sz="0" w:space="0" w:color="auto"/>
      </w:divBdr>
      <w:divsChild>
        <w:div w:id="35812494">
          <w:marLeft w:val="720"/>
          <w:marRight w:val="0"/>
          <w:marTop w:val="0"/>
          <w:marBottom w:val="285"/>
          <w:divBdr>
            <w:top w:val="none" w:sz="0" w:space="0" w:color="auto"/>
            <w:left w:val="none" w:sz="0" w:space="0" w:color="auto"/>
            <w:bottom w:val="none" w:sz="0" w:space="0" w:color="auto"/>
            <w:right w:val="none" w:sz="0" w:space="0" w:color="auto"/>
          </w:divBdr>
        </w:div>
        <w:div w:id="727730597">
          <w:marLeft w:val="720"/>
          <w:marRight w:val="0"/>
          <w:marTop w:val="0"/>
          <w:marBottom w:val="285"/>
          <w:divBdr>
            <w:top w:val="none" w:sz="0" w:space="0" w:color="auto"/>
            <w:left w:val="none" w:sz="0" w:space="0" w:color="auto"/>
            <w:bottom w:val="none" w:sz="0" w:space="0" w:color="auto"/>
            <w:right w:val="none" w:sz="0" w:space="0" w:color="auto"/>
          </w:divBdr>
        </w:div>
        <w:div w:id="1209950934">
          <w:marLeft w:val="720"/>
          <w:marRight w:val="0"/>
          <w:marTop w:val="0"/>
          <w:marBottom w:val="285"/>
          <w:divBdr>
            <w:top w:val="none" w:sz="0" w:space="0" w:color="auto"/>
            <w:left w:val="none" w:sz="0" w:space="0" w:color="auto"/>
            <w:bottom w:val="none" w:sz="0" w:space="0" w:color="auto"/>
            <w:right w:val="none" w:sz="0" w:space="0" w:color="auto"/>
          </w:divBdr>
        </w:div>
        <w:div w:id="1621717707">
          <w:marLeft w:val="720"/>
          <w:marRight w:val="0"/>
          <w:marTop w:val="0"/>
          <w:marBottom w:val="285"/>
          <w:divBdr>
            <w:top w:val="none" w:sz="0" w:space="0" w:color="auto"/>
            <w:left w:val="none" w:sz="0" w:space="0" w:color="auto"/>
            <w:bottom w:val="none" w:sz="0" w:space="0" w:color="auto"/>
            <w:right w:val="none" w:sz="0" w:space="0" w:color="auto"/>
          </w:divBdr>
        </w:div>
        <w:div w:id="1993679876">
          <w:marLeft w:val="720"/>
          <w:marRight w:val="0"/>
          <w:marTop w:val="0"/>
          <w:marBottom w:val="285"/>
          <w:divBdr>
            <w:top w:val="none" w:sz="0" w:space="0" w:color="auto"/>
            <w:left w:val="none" w:sz="0" w:space="0" w:color="auto"/>
            <w:bottom w:val="none" w:sz="0" w:space="0" w:color="auto"/>
            <w:right w:val="none" w:sz="0" w:space="0" w:color="auto"/>
          </w:divBdr>
        </w:div>
      </w:divsChild>
    </w:div>
    <w:div w:id="994264812">
      <w:bodyDiv w:val="1"/>
      <w:marLeft w:val="0"/>
      <w:marRight w:val="0"/>
      <w:marTop w:val="0"/>
      <w:marBottom w:val="0"/>
      <w:divBdr>
        <w:top w:val="none" w:sz="0" w:space="0" w:color="auto"/>
        <w:left w:val="none" w:sz="0" w:space="0" w:color="auto"/>
        <w:bottom w:val="none" w:sz="0" w:space="0" w:color="auto"/>
        <w:right w:val="none" w:sz="0" w:space="0" w:color="auto"/>
      </w:divBdr>
      <w:divsChild>
        <w:div w:id="188181019">
          <w:marLeft w:val="720"/>
          <w:marRight w:val="0"/>
          <w:marTop w:val="0"/>
          <w:marBottom w:val="285"/>
          <w:divBdr>
            <w:top w:val="none" w:sz="0" w:space="0" w:color="auto"/>
            <w:left w:val="none" w:sz="0" w:space="0" w:color="auto"/>
            <w:bottom w:val="none" w:sz="0" w:space="0" w:color="auto"/>
            <w:right w:val="none" w:sz="0" w:space="0" w:color="auto"/>
          </w:divBdr>
        </w:div>
        <w:div w:id="664625707">
          <w:marLeft w:val="720"/>
          <w:marRight w:val="0"/>
          <w:marTop w:val="0"/>
          <w:marBottom w:val="285"/>
          <w:divBdr>
            <w:top w:val="none" w:sz="0" w:space="0" w:color="auto"/>
            <w:left w:val="none" w:sz="0" w:space="0" w:color="auto"/>
            <w:bottom w:val="none" w:sz="0" w:space="0" w:color="auto"/>
            <w:right w:val="none" w:sz="0" w:space="0" w:color="auto"/>
          </w:divBdr>
        </w:div>
        <w:div w:id="738676576">
          <w:marLeft w:val="720"/>
          <w:marRight w:val="0"/>
          <w:marTop w:val="0"/>
          <w:marBottom w:val="285"/>
          <w:divBdr>
            <w:top w:val="none" w:sz="0" w:space="0" w:color="auto"/>
            <w:left w:val="none" w:sz="0" w:space="0" w:color="auto"/>
            <w:bottom w:val="none" w:sz="0" w:space="0" w:color="auto"/>
            <w:right w:val="none" w:sz="0" w:space="0" w:color="auto"/>
          </w:divBdr>
        </w:div>
      </w:divsChild>
    </w:div>
    <w:div w:id="1016927898">
      <w:bodyDiv w:val="1"/>
      <w:marLeft w:val="0"/>
      <w:marRight w:val="0"/>
      <w:marTop w:val="0"/>
      <w:marBottom w:val="0"/>
      <w:divBdr>
        <w:top w:val="none" w:sz="0" w:space="0" w:color="auto"/>
        <w:left w:val="none" w:sz="0" w:space="0" w:color="auto"/>
        <w:bottom w:val="none" w:sz="0" w:space="0" w:color="auto"/>
        <w:right w:val="none" w:sz="0" w:space="0" w:color="auto"/>
      </w:divBdr>
    </w:div>
    <w:div w:id="1119686212">
      <w:bodyDiv w:val="1"/>
      <w:marLeft w:val="0"/>
      <w:marRight w:val="0"/>
      <w:marTop w:val="0"/>
      <w:marBottom w:val="0"/>
      <w:divBdr>
        <w:top w:val="none" w:sz="0" w:space="0" w:color="auto"/>
        <w:left w:val="none" w:sz="0" w:space="0" w:color="auto"/>
        <w:bottom w:val="none" w:sz="0" w:space="0" w:color="auto"/>
        <w:right w:val="none" w:sz="0" w:space="0" w:color="auto"/>
      </w:divBdr>
    </w:div>
    <w:div w:id="1123385149">
      <w:bodyDiv w:val="1"/>
      <w:marLeft w:val="0"/>
      <w:marRight w:val="0"/>
      <w:marTop w:val="0"/>
      <w:marBottom w:val="0"/>
      <w:divBdr>
        <w:top w:val="none" w:sz="0" w:space="0" w:color="auto"/>
        <w:left w:val="none" w:sz="0" w:space="0" w:color="auto"/>
        <w:bottom w:val="none" w:sz="0" w:space="0" w:color="auto"/>
        <w:right w:val="none" w:sz="0" w:space="0" w:color="auto"/>
      </w:divBdr>
    </w:div>
    <w:div w:id="1178691845">
      <w:bodyDiv w:val="1"/>
      <w:marLeft w:val="0"/>
      <w:marRight w:val="0"/>
      <w:marTop w:val="0"/>
      <w:marBottom w:val="0"/>
      <w:divBdr>
        <w:top w:val="none" w:sz="0" w:space="0" w:color="auto"/>
        <w:left w:val="none" w:sz="0" w:space="0" w:color="auto"/>
        <w:bottom w:val="none" w:sz="0" w:space="0" w:color="auto"/>
        <w:right w:val="none" w:sz="0" w:space="0" w:color="auto"/>
      </w:divBdr>
    </w:div>
    <w:div w:id="1227572980">
      <w:bodyDiv w:val="1"/>
      <w:marLeft w:val="0"/>
      <w:marRight w:val="0"/>
      <w:marTop w:val="0"/>
      <w:marBottom w:val="0"/>
      <w:divBdr>
        <w:top w:val="none" w:sz="0" w:space="0" w:color="auto"/>
        <w:left w:val="none" w:sz="0" w:space="0" w:color="auto"/>
        <w:bottom w:val="none" w:sz="0" w:space="0" w:color="auto"/>
        <w:right w:val="none" w:sz="0" w:space="0" w:color="auto"/>
      </w:divBdr>
      <w:divsChild>
        <w:div w:id="29111749">
          <w:marLeft w:val="547"/>
          <w:marRight w:val="0"/>
          <w:marTop w:val="0"/>
          <w:marBottom w:val="285"/>
          <w:divBdr>
            <w:top w:val="none" w:sz="0" w:space="0" w:color="auto"/>
            <w:left w:val="none" w:sz="0" w:space="0" w:color="auto"/>
            <w:bottom w:val="none" w:sz="0" w:space="0" w:color="auto"/>
            <w:right w:val="none" w:sz="0" w:space="0" w:color="auto"/>
          </w:divBdr>
        </w:div>
        <w:div w:id="137038807">
          <w:marLeft w:val="547"/>
          <w:marRight w:val="0"/>
          <w:marTop w:val="0"/>
          <w:marBottom w:val="285"/>
          <w:divBdr>
            <w:top w:val="none" w:sz="0" w:space="0" w:color="auto"/>
            <w:left w:val="none" w:sz="0" w:space="0" w:color="auto"/>
            <w:bottom w:val="none" w:sz="0" w:space="0" w:color="auto"/>
            <w:right w:val="none" w:sz="0" w:space="0" w:color="auto"/>
          </w:divBdr>
        </w:div>
        <w:div w:id="1584797203">
          <w:marLeft w:val="547"/>
          <w:marRight w:val="0"/>
          <w:marTop w:val="0"/>
          <w:marBottom w:val="285"/>
          <w:divBdr>
            <w:top w:val="none" w:sz="0" w:space="0" w:color="auto"/>
            <w:left w:val="none" w:sz="0" w:space="0" w:color="auto"/>
            <w:bottom w:val="none" w:sz="0" w:space="0" w:color="auto"/>
            <w:right w:val="none" w:sz="0" w:space="0" w:color="auto"/>
          </w:divBdr>
        </w:div>
      </w:divsChild>
    </w:div>
    <w:div w:id="1228807461">
      <w:bodyDiv w:val="1"/>
      <w:marLeft w:val="0"/>
      <w:marRight w:val="0"/>
      <w:marTop w:val="0"/>
      <w:marBottom w:val="0"/>
      <w:divBdr>
        <w:top w:val="none" w:sz="0" w:space="0" w:color="auto"/>
        <w:left w:val="none" w:sz="0" w:space="0" w:color="auto"/>
        <w:bottom w:val="none" w:sz="0" w:space="0" w:color="auto"/>
        <w:right w:val="none" w:sz="0" w:space="0" w:color="auto"/>
      </w:divBdr>
    </w:div>
    <w:div w:id="1268654629">
      <w:bodyDiv w:val="1"/>
      <w:marLeft w:val="0"/>
      <w:marRight w:val="0"/>
      <w:marTop w:val="0"/>
      <w:marBottom w:val="0"/>
      <w:divBdr>
        <w:top w:val="none" w:sz="0" w:space="0" w:color="auto"/>
        <w:left w:val="none" w:sz="0" w:space="0" w:color="auto"/>
        <w:bottom w:val="none" w:sz="0" w:space="0" w:color="auto"/>
        <w:right w:val="none" w:sz="0" w:space="0" w:color="auto"/>
      </w:divBdr>
    </w:div>
    <w:div w:id="1270702188">
      <w:bodyDiv w:val="1"/>
      <w:marLeft w:val="0"/>
      <w:marRight w:val="0"/>
      <w:marTop w:val="0"/>
      <w:marBottom w:val="0"/>
      <w:divBdr>
        <w:top w:val="none" w:sz="0" w:space="0" w:color="auto"/>
        <w:left w:val="none" w:sz="0" w:space="0" w:color="auto"/>
        <w:bottom w:val="none" w:sz="0" w:space="0" w:color="auto"/>
        <w:right w:val="none" w:sz="0" w:space="0" w:color="auto"/>
      </w:divBdr>
    </w:div>
    <w:div w:id="1286472824">
      <w:bodyDiv w:val="1"/>
      <w:marLeft w:val="0"/>
      <w:marRight w:val="0"/>
      <w:marTop w:val="0"/>
      <w:marBottom w:val="0"/>
      <w:divBdr>
        <w:top w:val="none" w:sz="0" w:space="0" w:color="auto"/>
        <w:left w:val="none" w:sz="0" w:space="0" w:color="auto"/>
        <w:bottom w:val="none" w:sz="0" w:space="0" w:color="auto"/>
        <w:right w:val="none" w:sz="0" w:space="0" w:color="auto"/>
      </w:divBdr>
    </w:div>
    <w:div w:id="1297758341">
      <w:bodyDiv w:val="1"/>
      <w:marLeft w:val="0"/>
      <w:marRight w:val="0"/>
      <w:marTop w:val="0"/>
      <w:marBottom w:val="0"/>
      <w:divBdr>
        <w:top w:val="none" w:sz="0" w:space="0" w:color="auto"/>
        <w:left w:val="none" w:sz="0" w:space="0" w:color="auto"/>
        <w:bottom w:val="none" w:sz="0" w:space="0" w:color="auto"/>
        <w:right w:val="none" w:sz="0" w:space="0" w:color="auto"/>
      </w:divBdr>
    </w:div>
    <w:div w:id="1366754053">
      <w:bodyDiv w:val="1"/>
      <w:marLeft w:val="0"/>
      <w:marRight w:val="0"/>
      <w:marTop w:val="0"/>
      <w:marBottom w:val="0"/>
      <w:divBdr>
        <w:top w:val="none" w:sz="0" w:space="0" w:color="auto"/>
        <w:left w:val="none" w:sz="0" w:space="0" w:color="auto"/>
        <w:bottom w:val="none" w:sz="0" w:space="0" w:color="auto"/>
        <w:right w:val="none" w:sz="0" w:space="0" w:color="auto"/>
      </w:divBdr>
    </w:div>
    <w:div w:id="1386950562">
      <w:bodyDiv w:val="1"/>
      <w:marLeft w:val="0"/>
      <w:marRight w:val="0"/>
      <w:marTop w:val="0"/>
      <w:marBottom w:val="0"/>
      <w:divBdr>
        <w:top w:val="none" w:sz="0" w:space="0" w:color="auto"/>
        <w:left w:val="none" w:sz="0" w:space="0" w:color="auto"/>
        <w:bottom w:val="none" w:sz="0" w:space="0" w:color="auto"/>
        <w:right w:val="none" w:sz="0" w:space="0" w:color="auto"/>
      </w:divBdr>
    </w:div>
    <w:div w:id="1416126407">
      <w:bodyDiv w:val="1"/>
      <w:marLeft w:val="0"/>
      <w:marRight w:val="0"/>
      <w:marTop w:val="0"/>
      <w:marBottom w:val="0"/>
      <w:divBdr>
        <w:top w:val="none" w:sz="0" w:space="0" w:color="auto"/>
        <w:left w:val="none" w:sz="0" w:space="0" w:color="auto"/>
        <w:bottom w:val="none" w:sz="0" w:space="0" w:color="auto"/>
        <w:right w:val="none" w:sz="0" w:space="0" w:color="auto"/>
      </w:divBdr>
    </w:div>
    <w:div w:id="1451631167">
      <w:bodyDiv w:val="1"/>
      <w:marLeft w:val="0"/>
      <w:marRight w:val="0"/>
      <w:marTop w:val="0"/>
      <w:marBottom w:val="0"/>
      <w:divBdr>
        <w:top w:val="none" w:sz="0" w:space="0" w:color="auto"/>
        <w:left w:val="none" w:sz="0" w:space="0" w:color="auto"/>
        <w:bottom w:val="none" w:sz="0" w:space="0" w:color="auto"/>
        <w:right w:val="none" w:sz="0" w:space="0" w:color="auto"/>
      </w:divBdr>
    </w:div>
    <w:div w:id="1452285474">
      <w:bodyDiv w:val="1"/>
      <w:marLeft w:val="0"/>
      <w:marRight w:val="0"/>
      <w:marTop w:val="0"/>
      <w:marBottom w:val="0"/>
      <w:divBdr>
        <w:top w:val="none" w:sz="0" w:space="0" w:color="auto"/>
        <w:left w:val="none" w:sz="0" w:space="0" w:color="auto"/>
        <w:bottom w:val="none" w:sz="0" w:space="0" w:color="auto"/>
        <w:right w:val="none" w:sz="0" w:space="0" w:color="auto"/>
      </w:divBdr>
      <w:divsChild>
        <w:div w:id="71438830">
          <w:marLeft w:val="533"/>
          <w:marRight w:val="0"/>
          <w:marTop w:val="72"/>
          <w:marBottom w:val="0"/>
          <w:divBdr>
            <w:top w:val="none" w:sz="0" w:space="0" w:color="auto"/>
            <w:left w:val="none" w:sz="0" w:space="0" w:color="auto"/>
            <w:bottom w:val="none" w:sz="0" w:space="0" w:color="auto"/>
            <w:right w:val="none" w:sz="0" w:space="0" w:color="auto"/>
          </w:divBdr>
        </w:div>
        <w:div w:id="223759930">
          <w:marLeft w:val="533"/>
          <w:marRight w:val="0"/>
          <w:marTop w:val="72"/>
          <w:marBottom w:val="0"/>
          <w:divBdr>
            <w:top w:val="none" w:sz="0" w:space="0" w:color="auto"/>
            <w:left w:val="none" w:sz="0" w:space="0" w:color="auto"/>
            <w:bottom w:val="none" w:sz="0" w:space="0" w:color="auto"/>
            <w:right w:val="none" w:sz="0" w:space="0" w:color="auto"/>
          </w:divBdr>
        </w:div>
        <w:div w:id="459882229">
          <w:marLeft w:val="533"/>
          <w:marRight w:val="0"/>
          <w:marTop w:val="72"/>
          <w:marBottom w:val="0"/>
          <w:divBdr>
            <w:top w:val="none" w:sz="0" w:space="0" w:color="auto"/>
            <w:left w:val="none" w:sz="0" w:space="0" w:color="auto"/>
            <w:bottom w:val="none" w:sz="0" w:space="0" w:color="auto"/>
            <w:right w:val="none" w:sz="0" w:space="0" w:color="auto"/>
          </w:divBdr>
        </w:div>
        <w:div w:id="475800883">
          <w:marLeft w:val="533"/>
          <w:marRight w:val="0"/>
          <w:marTop w:val="72"/>
          <w:marBottom w:val="0"/>
          <w:divBdr>
            <w:top w:val="none" w:sz="0" w:space="0" w:color="auto"/>
            <w:left w:val="none" w:sz="0" w:space="0" w:color="auto"/>
            <w:bottom w:val="none" w:sz="0" w:space="0" w:color="auto"/>
            <w:right w:val="none" w:sz="0" w:space="0" w:color="auto"/>
          </w:divBdr>
        </w:div>
        <w:div w:id="1221861456">
          <w:marLeft w:val="533"/>
          <w:marRight w:val="0"/>
          <w:marTop w:val="72"/>
          <w:marBottom w:val="0"/>
          <w:divBdr>
            <w:top w:val="none" w:sz="0" w:space="0" w:color="auto"/>
            <w:left w:val="none" w:sz="0" w:space="0" w:color="auto"/>
            <w:bottom w:val="none" w:sz="0" w:space="0" w:color="auto"/>
            <w:right w:val="none" w:sz="0" w:space="0" w:color="auto"/>
          </w:divBdr>
        </w:div>
        <w:div w:id="1320767509">
          <w:marLeft w:val="533"/>
          <w:marRight w:val="0"/>
          <w:marTop w:val="72"/>
          <w:marBottom w:val="0"/>
          <w:divBdr>
            <w:top w:val="none" w:sz="0" w:space="0" w:color="auto"/>
            <w:left w:val="none" w:sz="0" w:space="0" w:color="auto"/>
            <w:bottom w:val="none" w:sz="0" w:space="0" w:color="auto"/>
            <w:right w:val="none" w:sz="0" w:space="0" w:color="auto"/>
          </w:divBdr>
        </w:div>
        <w:div w:id="1399280108">
          <w:marLeft w:val="533"/>
          <w:marRight w:val="0"/>
          <w:marTop w:val="72"/>
          <w:marBottom w:val="0"/>
          <w:divBdr>
            <w:top w:val="none" w:sz="0" w:space="0" w:color="auto"/>
            <w:left w:val="none" w:sz="0" w:space="0" w:color="auto"/>
            <w:bottom w:val="none" w:sz="0" w:space="0" w:color="auto"/>
            <w:right w:val="none" w:sz="0" w:space="0" w:color="auto"/>
          </w:divBdr>
        </w:div>
        <w:div w:id="1417745144">
          <w:marLeft w:val="533"/>
          <w:marRight w:val="0"/>
          <w:marTop w:val="72"/>
          <w:marBottom w:val="0"/>
          <w:divBdr>
            <w:top w:val="none" w:sz="0" w:space="0" w:color="auto"/>
            <w:left w:val="none" w:sz="0" w:space="0" w:color="auto"/>
            <w:bottom w:val="none" w:sz="0" w:space="0" w:color="auto"/>
            <w:right w:val="none" w:sz="0" w:space="0" w:color="auto"/>
          </w:divBdr>
        </w:div>
        <w:div w:id="1498616954">
          <w:marLeft w:val="533"/>
          <w:marRight w:val="0"/>
          <w:marTop w:val="72"/>
          <w:marBottom w:val="0"/>
          <w:divBdr>
            <w:top w:val="none" w:sz="0" w:space="0" w:color="auto"/>
            <w:left w:val="none" w:sz="0" w:space="0" w:color="auto"/>
            <w:bottom w:val="none" w:sz="0" w:space="0" w:color="auto"/>
            <w:right w:val="none" w:sz="0" w:space="0" w:color="auto"/>
          </w:divBdr>
        </w:div>
        <w:div w:id="1616863105">
          <w:marLeft w:val="533"/>
          <w:marRight w:val="0"/>
          <w:marTop w:val="72"/>
          <w:marBottom w:val="0"/>
          <w:divBdr>
            <w:top w:val="none" w:sz="0" w:space="0" w:color="auto"/>
            <w:left w:val="none" w:sz="0" w:space="0" w:color="auto"/>
            <w:bottom w:val="none" w:sz="0" w:space="0" w:color="auto"/>
            <w:right w:val="none" w:sz="0" w:space="0" w:color="auto"/>
          </w:divBdr>
        </w:div>
        <w:div w:id="2084184904">
          <w:marLeft w:val="533"/>
          <w:marRight w:val="0"/>
          <w:marTop w:val="72"/>
          <w:marBottom w:val="0"/>
          <w:divBdr>
            <w:top w:val="none" w:sz="0" w:space="0" w:color="auto"/>
            <w:left w:val="none" w:sz="0" w:space="0" w:color="auto"/>
            <w:bottom w:val="none" w:sz="0" w:space="0" w:color="auto"/>
            <w:right w:val="none" w:sz="0" w:space="0" w:color="auto"/>
          </w:divBdr>
        </w:div>
        <w:div w:id="2086757773">
          <w:marLeft w:val="533"/>
          <w:marRight w:val="0"/>
          <w:marTop w:val="72"/>
          <w:marBottom w:val="0"/>
          <w:divBdr>
            <w:top w:val="none" w:sz="0" w:space="0" w:color="auto"/>
            <w:left w:val="none" w:sz="0" w:space="0" w:color="auto"/>
            <w:bottom w:val="none" w:sz="0" w:space="0" w:color="auto"/>
            <w:right w:val="none" w:sz="0" w:space="0" w:color="auto"/>
          </w:divBdr>
        </w:div>
      </w:divsChild>
    </w:div>
    <w:div w:id="1455440538">
      <w:bodyDiv w:val="1"/>
      <w:marLeft w:val="0"/>
      <w:marRight w:val="0"/>
      <w:marTop w:val="0"/>
      <w:marBottom w:val="0"/>
      <w:divBdr>
        <w:top w:val="none" w:sz="0" w:space="0" w:color="auto"/>
        <w:left w:val="none" w:sz="0" w:space="0" w:color="auto"/>
        <w:bottom w:val="none" w:sz="0" w:space="0" w:color="auto"/>
        <w:right w:val="none" w:sz="0" w:space="0" w:color="auto"/>
      </w:divBdr>
    </w:div>
    <w:div w:id="1472864530">
      <w:bodyDiv w:val="1"/>
      <w:marLeft w:val="0"/>
      <w:marRight w:val="0"/>
      <w:marTop w:val="0"/>
      <w:marBottom w:val="0"/>
      <w:divBdr>
        <w:top w:val="none" w:sz="0" w:space="0" w:color="auto"/>
        <w:left w:val="none" w:sz="0" w:space="0" w:color="auto"/>
        <w:bottom w:val="none" w:sz="0" w:space="0" w:color="auto"/>
        <w:right w:val="none" w:sz="0" w:space="0" w:color="auto"/>
      </w:divBdr>
      <w:divsChild>
        <w:div w:id="127824715">
          <w:marLeft w:val="274"/>
          <w:marRight w:val="0"/>
          <w:marTop w:val="0"/>
          <w:marBottom w:val="0"/>
          <w:divBdr>
            <w:top w:val="none" w:sz="0" w:space="0" w:color="auto"/>
            <w:left w:val="none" w:sz="0" w:space="0" w:color="auto"/>
            <w:bottom w:val="none" w:sz="0" w:space="0" w:color="auto"/>
            <w:right w:val="none" w:sz="0" w:space="0" w:color="auto"/>
          </w:divBdr>
        </w:div>
        <w:div w:id="558905247">
          <w:marLeft w:val="274"/>
          <w:marRight w:val="0"/>
          <w:marTop w:val="0"/>
          <w:marBottom w:val="0"/>
          <w:divBdr>
            <w:top w:val="none" w:sz="0" w:space="0" w:color="auto"/>
            <w:left w:val="none" w:sz="0" w:space="0" w:color="auto"/>
            <w:bottom w:val="none" w:sz="0" w:space="0" w:color="auto"/>
            <w:right w:val="none" w:sz="0" w:space="0" w:color="auto"/>
          </w:divBdr>
        </w:div>
        <w:div w:id="2026398373">
          <w:marLeft w:val="274"/>
          <w:marRight w:val="0"/>
          <w:marTop w:val="0"/>
          <w:marBottom w:val="0"/>
          <w:divBdr>
            <w:top w:val="none" w:sz="0" w:space="0" w:color="auto"/>
            <w:left w:val="none" w:sz="0" w:space="0" w:color="auto"/>
            <w:bottom w:val="none" w:sz="0" w:space="0" w:color="auto"/>
            <w:right w:val="none" w:sz="0" w:space="0" w:color="auto"/>
          </w:divBdr>
        </w:div>
      </w:divsChild>
    </w:div>
    <w:div w:id="1500779075">
      <w:bodyDiv w:val="1"/>
      <w:marLeft w:val="0"/>
      <w:marRight w:val="0"/>
      <w:marTop w:val="0"/>
      <w:marBottom w:val="0"/>
      <w:divBdr>
        <w:top w:val="none" w:sz="0" w:space="0" w:color="auto"/>
        <w:left w:val="none" w:sz="0" w:space="0" w:color="auto"/>
        <w:bottom w:val="none" w:sz="0" w:space="0" w:color="auto"/>
        <w:right w:val="none" w:sz="0" w:space="0" w:color="auto"/>
      </w:divBdr>
    </w:div>
    <w:div w:id="1551763254">
      <w:bodyDiv w:val="1"/>
      <w:marLeft w:val="0"/>
      <w:marRight w:val="0"/>
      <w:marTop w:val="0"/>
      <w:marBottom w:val="0"/>
      <w:divBdr>
        <w:top w:val="none" w:sz="0" w:space="0" w:color="auto"/>
        <w:left w:val="none" w:sz="0" w:space="0" w:color="auto"/>
        <w:bottom w:val="none" w:sz="0" w:space="0" w:color="auto"/>
        <w:right w:val="none" w:sz="0" w:space="0" w:color="auto"/>
      </w:divBdr>
    </w:div>
    <w:div w:id="1554348982">
      <w:bodyDiv w:val="1"/>
      <w:marLeft w:val="0"/>
      <w:marRight w:val="0"/>
      <w:marTop w:val="0"/>
      <w:marBottom w:val="0"/>
      <w:divBdr>
        <w:top w:val="none" w:sz="0" w:space="0" w:color="auto"/>
        <w:left w:val="none" w:sz="0" w:space="0" w:color="auto"/>
        <w:bottom w:val="none" w:sz="0" w:space="0" w:color="auto"/>
        <w:right w:val="none" w:sz="0" w:space="0" w:color="auto"/>
      </w:divBdr>
    </w:div>
    <w:div w:id="1584753150">
      <w:bodyDiv w:val="1"/>
      <w:marLeft w:val="0"/>
      <w:marRight w:val="0"/>
      <w:marTop w:val="0"/>
      <w:marBottom w:val="0"/>
      <w:divBdr>
        <w:top w:val="none" w:sz="0" w:space="0" w:color="auto"/>
        <w:left w:val="none" w:sz="0" w:space="0" w:color="auto"/>
        <w:bottom w:val="none" w:sz="0" w:space="0" w:color="auto"/>
        <w:right w:val="none" w:sz="0" w:space="0" w:color="auto"/>
      </w:divBdr>
    </w:div>
    <w:div w:id="1586719440">
      <w:bodyDiv w:val="1"/>
      <w:marLeft w:val="0"/>
      <w:marRight w:val="0"/>
      <w:marTop w:val="0"/>
      <w:marBottom w:val="0"/>
      <w:divBdr>
        <w:top w:val="none" w:sz="0" w:space="0" w:color="auto"/>
        <w:left w:val="none" w:sz="0" w:space="0" w:color="auto"/>
        <w:bottom w:val="none" w:sz="0" w:space="0" w:color="auto"/>
        <w:right w:val="none" w:sz="0" w:space="0" w:color="auto"/>
      </w:divBdr>
    </w:div>
    <w:div w:id="1600484177">
      <w:bodyDiv w:val="1"/>
      <w:marLeft w:val="0"/>
      <w:marRight w:val="0"/>
      <w:marTop w:val="0"/>
      <w:marBottom w:val="0"/>
      <w:divBdr>
        <w:top w:val="none" w:sz="0" w:space="0" w:color="auto"/>
        <w:left w:val="none" w:sz="0" w:space="0" w:color="auto"/>
        <w:bottom w:val="none" w:sz="0" w:space="0" w:color="auto"/>
        <w:right w:val="none" w:sz="0" w:space="0" w:color="auto"/>
      </w:divBdr>
    </w:div>
    <w:div w:id="1619798471">
      <w:bodyDiv w:val="1"/>
      <w:marLeft w:val="0"/>
      <w:marRight w:val="0"/>
      <w:marTop w:val="0"/>
      <w:marBottom w:val="0"/>
      <w:divBdr>
        <w:top w:val="none" w:sz="0" w:space="0" w:color="auto"/>
        <w:left w:val="none" w:sz="0" w:space="0" w:color="auto"/>
        <w:bottom w:val="none" w:sz="0" w:space="0" w:color="auto"/>
        <w:right w:val="none" w:sz="0" w:space="0" w:color="auto"/>
      </w:divBdr>
    </w:div>
    <w:div w:id="1626348668">
      <w:bodyDiv w:val="1"/>
      <w:marLeft w:val="0"/>
      <w:marRight w:val="0"/>
      <w:marTop w:val="0"/>
      <w:marBottom w:val="0"/>
      <w:divBdr>
        <w:top w:val="none" w:sz="0" w:space="0" w:color="auto"/>
        <w:left w:val="none" w:sz="0" w:space="0" w:color="auto"/>
        <w:bottom w:val="none" w:sz="0" w:space="0" w:color="auto"/>
        <w:right w:val="none" w:sz="0" w:space="0" w:color="auto"/>
      </w:divBdr>
    </w:div>
    <w:div w:id="1641107984">
      <w:bodyDiv w:val="1"/>
      <w:marLeft w:val="0"/>
      <w:marRight w:val="0"/>
      <w:marTop w:val="0"/>
      <w:marBottom w:val="0"/>
      <w:divBdr>
        <w:top w:val="none" w:sz="0" w:space="0" w:color="auto"/>
        <w:left w:val="none" w:sz="0" w:space="0" w:color="auto"/>
        <w:bottom w:val="none" w:sz="0" w:space="0" w:color="auto"/>
        <w:right w:val="none" w:sz="0" w:space="0" w:color="auto"/>
      </w:divBdr>
    </w:div>
    <w:div w:id="1690720029">
      <w:bodyDiv w:val="1"/>
      <w:marLeft w:val="0"/>
      <w:marRight w:val="0"/>
      <w:marTop w:val="0"/>
      <w:marBottom w:val="0"/>
      <w:divBdr>
        <w:top w:val="none" w:sz="0" w:space="0" w:color="auto"/>
        <w:left w:val="none" w:sz="0" w:space="0" w:color="auto"/>
        <w:bottom w:val="none" w:sz="0" w:space="0" w:color="auto"/>
        <w:right w:val="none" w:sz="0" w:space="0" w:color="auto"/>
      </w:divBdr>
    </w:div>
    <w:div w:id="1734230140">
      <w:bodyDiv w:val="1"/>
      <w:marLeft w:val="0"/>
      <w:marRight w:val="0"/>
      <w:marTop w:val="0"/>
      <w:marBottom w:val="0"/>
      <w:divBdr>
        <w:top w:val="none" w:sz="0" w:space="0" w:color="auto"/>
        <w:left w:val="none" w:sz="0" w:space="0" w:color="auto"/>
        <w:bottom w:val="none" w:sz="0" w:space="0" w:color="auto"/>
        <w:right w:val="none" w:sz="0" w:space="0" w:color="auto"/>
      </w:divBdr>
    </w:div>
    <w:div w:id="1738092724">
      <w:bodyDiv w:val="1"/>
      <w:marLeft w:val="0"/>
      <w:marRight w:val="0"/>
      <w:marTop w:val="0"/>
      <w:marBottom w:val="0"/>
      <w:divBdr>
        <w:top w:val="none" w:sz="0" w:space="0" w:color="auto"/>
        <w:left w:val="none" w:sz="0" w:space="0" w:color="auto"/>
        <w:bottom w:val="none" w:sz="0" w:space="0" w:color="auto"/>
        <w:right w:val="none" w:sz="0" w:space="0" w:color="auto"/>
      </w:divBdr>
    </w:div>
    <w:div w:id="1782601369">
      <w:bodyDiv w:val="1"/>
      <w:marLeft w:val="0"/>
      <w:marRight w:val="0"/>
      <w:marTop w:val="0"/>
      <w:marBottom w:val="0"/>
      <w:divBdr>
        <w:top w:val="none" w:sz="0" w:space="0" w:color="auto"/>
        <w:left w:val="none" w:sz="0" w:space="0" w:color="auto"/>
        <w:bottom w:val="none" w:sz="0" w:space="0" w:color="auto"/>
        <w:right w:val="none" w:sz="0" w:space="0" w:color="auto"/>
      </w:divBdr>
    </w:div>
    <w:div w:id="1795443901">
      <w:bodyDiv w:val="1"/>
      <w:marLeft w:val="0"/>
      <w:marRight w:val="0"/>
      <w:marTop w:val="0"/>
      <w:marBottom w:val="0"/>
      <w:divBdr>
        <w:top w:val="none" w:sz="0" w:space="0" w:color="auto"/>
        <w:left w:val="none" w:sz="0" w:space="0" w:color="auto"/>
        <w:bottom w:val="none" w:sz="0" w:space="0" w:color="auto"/>
        <w:right w:val="none" w:sz="0" w:space="0" w:color="auto"/>
      </w:divBdr>
    </w:div>
    <w:div w:id="1812743331">
      <w:bodyDiv w:val="1"/>
      <w:marLeft w:val="0"/>
      <w:marRight w:val="0"/>
      <w:marTop w:val="0"/>
      <w:marBottom w:val="0"/>
      <w:divBdr>
        <w:top w:val="none" w:sz="0" w:space="0" w:color="auto"/>
        <w:left w:val="none" w:sz="0" w:space="0" w:color="auto"/>
        <w:bottom w:val="none" w:sz="0" w:space="0" w:color="auto"/>
        <w:right w:val="none" w:sz="0" w:space="0" w:color="auto"/>
      </w:divBdr>
    </w:div>
    <w:div w:id="1817144173">
      <w:bodyDiv w:val="1"/>
      <w:marLeft w:val="0"/>
      <w:marRight w:val="0"/>
      <w:marTop w:val="0"/>
      <w:marBottom w:val="0"/>
      <w:divBdr>
        <w:top w:val="none" w:sz="0" w:space="0" w:color="auto"/>
        <w:left w:val="none" w:sz="0" w:space="0" w:color="auto"/>
        <w:bottom w:val="none" w:sz="0" w:space="0" w:color="auto"/>
        <w:right w:val="none" w:sz="0" w:space="0" w:color="auto"/>
      </w:divBdr>
    </w:div>
    <w:div w:id="1880164914">
      <w:bodyDiv w:val="1"/>
      <w:marLeft w:val="0"/>
      <w:marRight w:val="0"/>
      <w:marTop w:val="0"/>
      <w:marBottom w:val="0"/>
      <w:divBdr>
        <w:top w:val="none" w:sz="0" w:space="0" w:color="auto"/>
        <w:left w:val="none" w:sz="0" w:space="0" w:color="auto"/>
        <w:bottom w:val="none" w:sz="0" w:space="0" w:color="auto"/>
        <w:right w:val="none" w:sz="0" w:space="0" w:color="auto"/>
      </w:divBdr>
      <w:divsChild>
        <w:div w:id="70078659">
          <w:marLeft w:val="288"/>
          <w:marRight w:val="0"/>
          <w:marTop w:val="120"/>
          <w:marBottom w:val="0"/>
          <w:divBdr>
            <w:top w:val="none" w:sz="0" w:space="0" w:color="auto"/>
            <w:left w:val="none" w:sz="0" w:space="0" w:color="auto"/>
            <w:bottom w:val="none" w:sz="0" w:space="0" w:color="auto"/>
            <w:right w:val="none" w:sz="0" w:space="0" w:color="auto"/>
          </w:divBdr>
        </w:div>
        <w:div w:id="583421433">
          <w:marLeft w:val="288"/>
          <w:marRight w:val="0"/>
          <w:marTop w:val="120"/>
          <w:marBottom w:val="0"/>
          <w:divBdr>
            <w:top w:val="none" w:sz="0" w:space="0" w:color="auto"/>
            <w:left w:val="none" w:sz="0" w:space="0" w:color="auto"/>
            <w:bottom w:val="none" w:sz="0" w:space="0" w:color="auto"/>
            <w:right w:val="none" w:sz="0" w:space="0" w:color="auto"/>
          </w:divBdr>
        </w:div>
        <w:div w:id="1721437315">
          <w:marLeft w:val="288"/>
          <w:marRight w:val="0"/>
          <w:marTop w:val="120"/>
          <w:marBottom w:val="0"/>
          <w:divBdr>
            <w:top w:val="none" w:sz="0" w:space="0" w:color="auto"/>
            <w:left w:val="none" w:sz="0" w:space="0" w:color="auto"/>
            <w:bottom w:val="none" w:sz="0" w:space="0" w:color="auto"/>
            <w:right w:val="none" w:sz="0" w:space="0" w:color="auto"/>
          </w:divBdr>
        </w:div>
      </w:divsChild>
    </w:div>
    <w:div w:id="1980574951">
      <w:bodyDiv w:val="1"/>
      <w:marLeft w:val="0"/>
      <w:marRight w:val="0"/>
      <w:marTop w:val="0"/>
      <w:marBottom w:val="0"/>
      <w:divBdr>
        <w:top w:val="none" w:sz="0" w:space="0" w:color="auto"/>
        <w:left w:val="none" w:sz="0" w:space="0" w:color="auto"/>
        <w:bottom w:val="none" w:sz="0" w:space="0" w:color="auto"/>
        <w:right w:val="none" w:sz="0" w:space="0" w:color="auto"/>
      </w:divBdr>
    </w:div>
    <w:div w:id="1983777014">
      <w:bodyDiv w:val="1"/>
      <w:marLeft w:val="0"/>
      <w:marRight w:val="0"/>
      <w:marTop w:val="0"/>
      <w:marBottom w:val="0"/>
      <w:divBdr>
        <w:top w:val="none" w:sz="0" w:space="0" w:color="auto"/>
        <w:left w:val="none" w:sz="0" w:space="0" w:color="auto"/>
        <w:bottom w:val="none" w:sz="0" w:space="0" w:color="auto"/>
        <w:right w:val="none" w:sz="0" w:space="0" w:color="auto"/>
      </w:divBdr>
    </w:div>
    <w:div w:id="2022513121">
      <w:bodyDiv w:val="1"/>
      <w:marLeft w:val="0"/>
      <w:marRight w:val="0"/>
      <w:marTop w:val="0"/>
      <w:marBottom w:val="0"/>
      <w:divBdr>
        <w:top w:val="none" w:sz="0" w:space="0" w:color="auto"/>
        <w:left w:val="none" w:sz="0" w:space="0" w:color="auto"/>
        <w:bottom w:val="none" w:sz="0" w:space="0" w:color="auto"/>
        <w:right w:val="none" w:sz="0" w:space="0" w:color="auto"/>
      </w:divBdr>
    </w:div>
    <w:div w:id="2140610158">
      <w:bodyDiv w:val="1"/>
      <w:marLeft w:val="0"/>
      <w:marRight w:val="0"/>
      <w:marTop w:val="0"/>
      <w:marBottom w:val="0"/>
      <w:divBdr>
        <w:top w:val="none" w:sz="0" w:space="0" w:color="auto"/>
        <w:left w:val="none" w:sz="0" w:space="0" w:color="auto"/>
        <w:bottom w:val="none" w:sz="0" w:space="0" w:color="auto"/>
        <w:right w:val="none" w:sz="0" w:space="0" w:color="auto"/>
      </w:divBdr>
    </w:div>
    <w:div w:id="21406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a.ruka\AppData\Roaming\Microsoft\Templates\EYWord\Reports\A4_EY_Report_portrait_P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00500-0B9C-430A-BF33-255DC62B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A4_EY_Report_portrait_PL</Template>
  <TotalTime>0</TotalTime>
  <Pages>86</Pages>
  <Words>24412</Words>
  <Characters>146478</Characters>
  <Application>Microsoft Office Word</Application>
  <DocSecurity>0</DocSecurity>
  <Lines>1220</Lines>
  <Paragraphs>341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LinksUpToDate>false</LinksUpToDate>
  <CharactersWithSpaces>170549</CharactersWithSpaces>
  <SharedDoc>false</SharedDoc>
  <HLinks>
    <vt:vector size="24" baseType="variant">
      <vt:variant>
        <vt:i4>1572915</vt:i4>
      </vt:variant>
      <vt:variant>
        <vt:i4>20</vt:i4>
      </vt:variant>
      <vt:variant>
        <vt:i4>0</vt:i4>
      </vt:variant>
      <vt:variant>
        <vt:i4>5</vt:i4>
      </vt:variant>
      <vt:variant>
        <vt:lpwstr/>
      </vt:variant>
      <vt:variant>
        <vt:lpwstr>_Toc212966515</vt:lpwstr>
      </vt:variant>
      <vt:variant>
        <vt:i4>1572915</vt:i4>
      </vt:variant>
      <vt:variant>
        <vt:i4>14</vt:i4>
      </vt:variant>
      <vt:variant>
        <vt:i4>0</vt:i4>
      </vt:variant>
      <vt:variant>
        <vt:i4>5</vt:i4>
      </vt:variant>
      <vt:variant>
        <vt:lpwstr/>
      </vt:variant>
      <vt:variant>
        <vt:lpwstr>_Toc212966514</vt:lpwstr>
      </vt:variant>
      <vt:variant>
        <vt:i4>1572915</vt:i4>
      </vt:variant>
      <vt:variant>
        <vt:i4>8</vt:i4>
      </vt:variant>
      <vt:variant>
        <vt:i4>0</vt:i4>
      </vt:variant>
      <vt:variant>
        <vt:i4>5</vt:i4>
      </vt:variant>
      <vt:variant>
        <vt:lpwstr/>
      </vt:variant>
      <vt:variant>
        <vt:lpwstr>_Toc212966513</vt:lpwstr>
      </vt:variant>
      <vt:variant>
        <vt:i4>1572915</vt:i4>
      </vt:variant>
      <vt:variant>
        <vt:i4>2</vt:i4>
      </vt:variant>
      <vt:variant>
        <vt:i4>0</vt:i4>
      </vt:variant>
      <vt:variant>
        <vt:i4>5</vt:i4>
      </vt:variant>
      <vt:variant>
        <vt:lpwstr/>
      </vt:variant>
      <vt:variant>
        <vt:lpwstr>_Toc212966512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2021-03-23T18:13:00Z</dcterms:created>
  <dcterms:modified xsi:type="dcterms:W3CDTF">2021-03-23T18:13:00Z</dcterms:modified>
</cp:coreProperties>
</file>